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B772DA">
        <w:rPr>
          <w:rFonts w:ascii="Arial" w:hAnsi="Arial" w:cs="Arial"/>
          <w:b/>
          <w:sz w:val="17"/>
          <w:szCs w:val="17"/>
        </w:rPr>
        <w:t>PODER EJECUTIVO DEL ESTADO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2016</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posición del Poder Ejecutivo del Estado de Querétaro:</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B445C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9D4479"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4479" w:rsidRPr="009D4479" w:rsidRDefault="009D4479" w:rsidP="009D4479">
            <w:pPr>
              <w:rPr>
                <w:rFonts w:ascii="Arial" w:hAnsi="Arial" w:cs="Arial"/>
                <w:sz w:val="17"/>
                <w:szCs w:val="17"/>
              </w:rPr>
            </w:pPr>
            <w:r w:rsidRPr="009D4479">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2,320,537 </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2,239,500 </w:t>
            </w:r>
          </w:p>
        </w:tc>
      </w:tr>
      <w:tr w:rsidR="009D4479"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4479" w:rsidRPr="009D4479" w:rsidRDefault="009D4479" w:rsidP="009D4479">
            <w:pPr>
              <w:rPr>
                <w:rFonts w:ascii="Arial" w:hAnsi="Arial" w:cs="Arial"/>
                <w:sz w:val="17"/>
                <w:szCs w:val="17"/>
              </w:rPr>
            </w:pPr>
            <w:r w:rsidRPr="009D4479">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3,788,216,395 </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1,914,908,212 </w:t>
            </w:r>
          </w:p>
        </w:tc>
      </w:tr>
      <w:tr w:rsidR="009D4479"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4479" w:rsidRPr="009D4479" w:rsidRDefault="009D4479" w:rsidP="009D4479">
            <w:pPr>
              <w:rPr>
                <w:rFonts w:ascii="Arial" w:hAnsi="Arial" w:cs="Arial"/>
                <w:sz w:val="17"/>
                <w:szCs w:val="17"/>
              </w:rPr>
            </w:pPr>
            <w:r w:rsidRPr="009D4479">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56,508,691 </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113,450,632 </w:t>
            </w:r>
          </w:p>
        </w:tc>
      </w:tr>
      <w:tr w:rsidR="009D4479"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4479" w:rsidRPr="009D4479" w:rsidRDefault="009D4479" w:rsidP="009D4479">
            <w:pPr>
              <w:rPr>
                <w:rFonts w:ascii="Arial" w:hAnsi="Arial" w:cs="Arial"/>
                <w:sz w:val="17"/>
                <w:szCs w:val="17"/>
              </w:rPr>
            </w:pPr>
            <w:r w:rsidRPr="009D4479">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2,238,050,406 </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1,012,743,612 </w:t>
            </w:r>
          </w:p>
        </w:tc>
      </w:tr>
      <w:tr w:rsidR="009D4479"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D4479" w:rsidRPr="009D4479" w:rsidRDefault="009D4479" w:rsidP="009D4479">
            <w:pPr>
              <w:rPr>
                <w:rFonts w:ascii="Arial" w:hAnsi="Arial" w:cs="Arial"/>
                <w:sz w:val="17"/>
                <w:szCs w:val="17"/>
              </w:rPr>
            </w:pPr>
            <w:r w:rsidRPr="009D4479">
              <w:rPr>
                <w:rFonts w:ascii="Arial" w:hAnsi="Arial" w:cs="Arial"/>
                <w:sz w:val="17"/>
                <w:szCs w:val="17"/>
              </w:rPr>
              <w:t xml:space="preserve">Depósitos de </w:t>
            </w:r>
            <w:r>
              <w:rPr>
                <w:rFonts w:ascii="Arial" w:hAnsi="Arial" w:cs="Arial"/>
                <w:sz w:val="17"/>
                <w:szCs w:val="17"/>
              </w:rPr>
              <w:t xml:space="preserve">Fondos de Terceros en Garantía </w:t>
            </w:r>
            <w:r w:rsidRPr="009D4479">
              <w:rPr>
                <w:rFonts w:ascii="Arial" w:hAnsi="Arial" w:cs="Arial"/>
                <w:sz w:val="17"/>
                <w:szCs w:val="17"/>
              </w:rPr>
              <w:t>y/o Administración</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67,500 </w:t>
            </w:r>
          </w:p>
        </w:tc>
        <w:tc>
          <w:tcPr>
            <w:tcW w:w="2180" w:type="dxa"/>
            <w:tcBorders>
              <w:top w:val="single" w:sz="4" w:space="0" w:color="auto"/>
              <w:left w:val="nil"/>
              <w:bottom w:val="single" w:sz="4" w:space="0" w:color="auto"/>
              <w:right w:val="single" w:sz="4" w:space="0" w:color="auto"/>
            </w:tcBorders>
            <w:shd w:val="clear" w:color="auto" w:fill="auto"/>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667,500 </w:t>
            </w:r>
          </w:p>
        </w:tc>
      </w:tr>
      <w:tr w:rsidR="009D4479" w:rsidRPr="002D70DA" w:rsidTr="009D4479">
        <w:trPr>
          <w:trHeight w:val="240"/>
          <w:jc w:val="center"/>
        </w:trPr>
        <w:tc>
          <w:tcPr>
            <w:tcW w:w="4900" w:type="dxa"/>
            <w:tcBorders>
              <w:top w:val="nil"/>
              <w:left w:val="single" w:sz="4" w:space="0" w:color="auto"/>
              <w:bottom w:val="single" w:sz="4" w:space="0" w:color="auto"/>
              <w:right w:val="single" w:sz="4" w:space="0" w:color="auto"/>
            </w:tcBorders>
            <w:shd w:val="clear" w:color="auto" w:fill="auto"/>
            <w:hideMark/>
          </w:tcPr>
          <w:p w:rsidR="009D4479" w:rsidRPr="009D4479" w:rsidRDefault="009D4479" w:rsidP="009D4479">
            <w:pPr>
              <w:rPr>
                <w:rFonts w:ascii="Arial" w:hAnsi="Arial" w:cs="Arial"/>
                <w:sz w:val="17"/>
                <w:szCs w:val="17"/>
              </w:rPr>
            </w:pPr>
            <w:r w:rsidRPr="009D4479">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auto" w:fill="auto"/>
            <w:hideMark/>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21,856,662 </w:t>
            </w:r>
          </w:p>
        </w:tc>
        <w:tc>
          <w:tcPr>
            <w:tcW w:w="2180" w:type="dxa"/>
            <w:tcBorders>
              <w:top w:val="nil"/>
              <w:left w:val="nil"/>
              <w:bottom w:val="single" w:sz="4" w:space="0" w:color="auto"/>
              <w:right w:val="single" w:sz="4" w:space="0" w:color="auto"/>
            </w:tcBorders>
            <w:shd w:val="clear" w:color="auto" w:fill="auto"/>
            <w:hideMark/>
          </w:tcPr>
          <w:p w:rsidR="009D4479" w:rsidRPr="009D4479" w:rsidRDefault="009D4479" w:rsidP="009D4479">
            <w:pPr>
              <w:jc w:val="right"/>
              <w:rPr>
                <w:rFonts w:ascii="Arial" w:hAnsi="Arial" w:cs="Arial"/>
                <w:sz w:val="17"/>
                <w:szCs w:val="17"/>
              </w:rPr>
            </w:pPr>
            <w:r w:rsidRPr="009D4479">
              <w:rPr>
                <w:rFonts w:ascii="Arial" w:hAnsi="Arial" w:cs="Arial"/>
                <w:sz w:val="17"/>
                <w:szCs w:val="17"/>
              </w:rPr>
              <w:t xml:space="preserve">19,946,793 </w:t>
            </w:r>
          </w:p>
        </w:tc>
      </w:tr>
      <w:tr w:rsidR="009D4479" w:rsidRPr="002D70DA" w:rsidTr="009D4479">
        <w:trPr>
          <w:trHeight w:val="240"/>
          <w:jc w:val="center"/>
        </w:trPr>
        <w:tc>
          <w:tcPr>
            <w:tcW w:w="4900" w:type="dxa"/>
            <w:tcBorders>
              <w:top w:val="nil"/>
              <w:left w:val="nil"/>
              <w:bottom w:val="nil"/>
              <w:right w:val="single" w:sz="4" w:space="0" w:color="auto"/>
            </w:tcBorders>
            <w:shd w:val="clear" w:color="000000" w:fill="FFFFFF"/>
            <w:vAlign w:val="center"/>
            <w:hideMark/>
          </w:tcPr>
          <w:p w:rsidR="009D4479" w:rsidRPr="002D70DA" w:rsidRDefault="009D4479" w:rsidP="009D447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9D4479" w:rsidRPr="002D70DA" w:rsidRDefault="009D4479" w:rsidP="009D4479">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23F60" w:rsidRPr="00D23F60">
              <w:rPr>
                <w:rFonts w:ascii="Arial" w:hAnsi="Arial" w:cs="Arial"/>
                <w:b/>
                <w:bCs/>
                <w:noProof/>
                <w:color w:val="000000"/>
                <w:sz w:val="17"/>
                <w:szCs w:val="17"/>
                <w14:numForm w14:val="lining"/>
              </w:rPr>
              <w:t xml:space="preserve">6,107,020,191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D4479" w:rsidRPr="002D70DA" w:rsidRDefault="009D4479" w:rsidP="009D4479">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23F60" w:rsidRPr="00D23F60">
              <w:rPr>
                <w:rFonts w:ascii="Arial" w:hAnsi="Arial" w:cs="Arial"/>
                <w:b/>
                <w:bCs/>
                <w:noProof/>
                <w:color w:val="000000"/>
                <w:sz w:val="17"/>
                <w:szCs w:val="17"/>
                <w14:numForm w14:val="lining"/>
              </w:rPr>
              <w:t xml:space="preserve">3,063,956,248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9D4479" w:rsidRDefault="009D4479" w:rsidP="006335BE">
      <w:pPr>
        <w:spacing w:before="80" w:line="250" w:lineRule="exact"/>
        <w:ind w:left="709"/>
        <w:jc w:val="both"/>
        <w:rPr>
          <w:rFonts w:ascii="Arial" w:eastAsia="Calibri" w:hAnsi="Arial" w:cs="Arial"/>
          <w:spacing w:val="-1"/>
          <w:sz w:val="17"/>
          <w:szCs w:val="17"/>
        </w:rPr>
      </w:pPr>
    </w:p>
    <w:p w:rsidR="000C2C0C" w:rsidRDefault="000C2C0C"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presenta un incremento del 99% en el rubro de efectivo y equivalentes derivado principalmente de la radicación de recursos federales en la última parte del año.</w:t>
      </w:r>
    </w:p>
    <w:p w:rsidR="000C2C0C" w:rsidRDefault="000C2C0C"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Destaca la cancelación de depósitos en garantía que se tenía con los abastecedores de combustible.</w:t>
      </w:r>
    </w:p>
    <w:p w:rsidR="004839AF" w:rsidRDefault="000C2C0C"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informa que el saldo que se presenta en la cuenta de otros efectivos y equivalentes corresponde a una cuenta por cobrar generada al Tribunal Superior de Justicia</w:t>
      </w:r>
      <w:r w:rsidR="004839AF">
        <w:rPr>
          <w:rFonts w:ascii="Arial" w:eastAsia="Calibri" w:hAnsi="Arial" w:cs="Arial"/>
          <w:spacing w:val="-1"/>
          <w:sz w:val="17"/>
          <w:szCs w:val="17"/>
        </w:rPr>
        <w:t>.</w:t>
      </w:r>
    </w:p>
    <w:p w:rsidR="00F50E10" w:rsidRDefault="00F50E10" w:rsidP="006335BE">
      <w:pPr>
        <w:spacing w:before="80" w:line="250" w:lineRule="exact"/>
        <w:ind w:left="709"/>
        <w:jc w:val="both"/>
        <w:rPr>
          <w:rFonts w:ascii="Arial" w:eastAsia="Calibri" w:hAnsi="Arial" w:cs="Arial"/>
          <w:spacing w:val="-1"/>
          <w:sz w:val="17"/>
          <w:szCs w:val="17"/>
        </w:rPr>
      </w:pPr>
    </w:p>
    <w:p w:rsidR="00B445CD" w:rsidRDefault="00B445CD">
      <w:pPr>
        <w:rPr>
          <w:rFonts w:ascii="Arial" w:eastAsia="Calibri" w:hAnsi="Arial" w:cs="Arial"/>
          <w:spacing w:val="-1"/>
          <w:sz w:val="17"/>
          <w:szCs w:val="17"/>
        </w:rPr>
      </w:pPr>
      <w:r>
        <w:rPr>
          <w:rFonts w:ascii="Arial" w:eastAsia="Calibri" w:hAnsi="Arial" w:cs="Arial"/>
          <w:spacing w:val="-1"/>
          <w:sz w:val="17"/>
          <w:szCs w:val="17"/>
        </w:rPr>
        <w:br w:type="page"/>
      </w: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w:t>
      </w:r>
      <w:r w:rsidR="002F1704" w:rsidRPr="00B445CD">
        <w:rPr>
          <w:rFonts w:ascii="Arial" w:eastAsia="Calibri" w:hAnsi="Arial" w:cs="Arial"/>
          <w:spacing w:val="-1"/>
          <w:sz w:val="17"/>
          <w:szCs w:val="17"/>
        </w:rPr>
        <w:t>las inversiones temporales menores a tres meses</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316A2A" w:rsidRPr="002D70DA">
        <w:rPr>
          <w:rFonts w:ascii="Arial" w:eastAsia="Calibri" w:hAnsi="Arial" w:cs="Arial"/>
          <w:spacing w:val="-1"/>
          <w:sz w:val="17"/>
          <w:szCs w:val="17"/>
        </w:rPr>
        <w:t>3</w:t>
      </w:r>
      <w:r w:rsidR="00316A2A">
        <w:rPr>
          <w:rFonts w:ascii="Arial" w:eastAsia="Calibri" w:hAnsi="Arial" w:cs="Arial"/>
          <w:spacing w:val="-1"/>
          <w:sz w:val="17"/>
          <w:szCs w:val="17"/>
        </w:rPr>
        <w:t>1</w:t>
      </w:r>
      <w:r w:rsidR="00316A2A" w:rsidRPr="002D70DA">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316A2A" w:rsidRPr="002D70DA">
        <w:rPr>
          <w:rFonts w:ascii="Arial" w:eastAsia="Calibri" w:hAnsi="Arial" w:cs="Arial"/>
          <w:spacing w:val="-1"/>
          <w:sz w:val="17"/>
          <w:szCs w:val="17"/>
        </w:rPr>
        <w:t xml:space="preserve"> del 201</w:t>
      </w:r>
      <w:r w:rsidR="00316A2A">
        <w:rPr>
          <w:rFonts w:ascii="Arial" w:eastAsia="Calibri" w:hAnsi="Arial" w:cs="Arial"/>
          <w:spacing w:val="-1"/>
          <w:sz w:val="17"/>
          <w:szCs w:val="17"/>
        </w:rPr>
        <w:t>6</w:t>
      </w:r>
      <w:r w:rsidRPr="002D70DA">
        <w:rPr>
          <w:rFonts w:ascii="Arial" w:eastAsia="Calibri" w:hAnsi="Arial" w:cs="Arial"/>
          <w:spacing w:val="-1"/>
          <w:sz w:val="17"/>
          <w:szCs w:val="17"/>
        </w:rPr>
        <w:t>:</w:t>
      </w:r>
    </w:p>
    <w:p w:rsidR="00756556"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536B8" w:rsidRPr="002D70DA" w:rsidTr="00B445C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536B8" w:rsidRPr="002D70DA" w:rsidRDefault="00E11BB7" w:rsidP="002342BD">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536B8" w:rsidRPr="002D70DA" w:rsidRDefault="00E11BB7" w:rsidP="002342BD">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536B8" w:rsidRPr="002D70DA" w:rsidRDefault="00E11BB7" w:rsidP="002342BD">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536B8" w:rsidRPr="002D70DA" w:rsidRDefault="00E11BB7" w:rsidP="002342BD">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BJO 61387620125 SEGURO MEDICO SIGLO XXI 2016</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1,982,193 </w:t>
            </w:r>
          </w:p>
        </w:tc>
        <w:tc>
          <w:tcPr>
            <w:tcW w:w="2180" w:type="dxa"/>
            <w:tcBorders>
              <w:top w:val="nil"/>
              <w:left w:val="nil"/>
              <w:bottom w:val="single" w:sz="4" w:space="0" w:color="auto"/>
              <w:right w:val="single" w:sz="4" w:space="0" w:color="auto"/>
            </w:tcBorders>
            <w:shd w:val="clear" w:color="auto" w:fill="auto"/>
            <w:vAlign w:val="center"/>
          </w:tcPr>
          <w:p w:rsidR="00E11BB7" w:rsidRPr="00D04AD0" w:rsidRDefault="00E11BB7" w:rsidP="00E11BB7">
            <w:pPr>
              <w:jc w:val="center"/>
              <w:rPr>
                <w:rFonts w:ascii="Arial" w:hAnsi="Arial" w:cs="Arial"/>
                <w:bCs/>
                <w:color w:val="000000"/>
                <w:sz w:val="17"/>
                <w:szCs w:val="17"/>
              </w:rPr>
            </w:pPr>
            <w:r>
              <w:rPr>
                <w:rFonts w:ascii="Arial" w:hAnsi="Arial" w:cs="Arial"/>
                <w:bCs/>
                <w:color w:val="000000"/>
                <w:sz w:val="17"/>
                <w:szCs w:val="17"/>
              </w:rPr>
              <w:t>3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BMX 3666818 GEQ4</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82,865,460 </w:t>
            </w:r>
          </w:p>
        </w:tc>
        <w:tc>
          <w:tcPr>
            <w:tcW w:w="2180" w:type="dxa"/>
            <w:tcBorders>
              <w:top w:val="nil"/>
              <w:left w:val="nil"/>
              <w:bottom w:val="single" w:sz="4" w:space="0" w:color="auto"/>
              <w:right w:val="single" w:sz="4" w:space="0" w:color="auto"/>
            </w:tcBorders>
            <w:shd w:val="clear" w:color="auto" w:fill="auto"/>
          </w:tcPr>
          <w:p w:rsidR="00E11BB7" w:rsidRDefault="00E11BB7" w:rsidP="00E11BB7">
            <w:pPr>
              <w:jc w:val="center"/>
            </w:pPr>
            <w:r>
              <w:rPr>
                <w:rFonts w:ascii="Arial" w:hAnsi="Arial" w:cs="Arial"/>
                <w:bCs/>
                <w:color w:val="000000"/>
                <w:sz w:val="17"/>
                <w:szCs w:val="17"/>
              </w:rPr>
              <w:t>10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BNT 0297144623 GEQ1</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799,980,000 </w:t>
            </w:r>
          </w:p>
        </w:tc>
        <w:tc>
          <w:tcPr>
            <w:tcW w:w="2180" w:type="dxa"/>
            <w:tcBorders>
              <w:top w:val="nil"/>
              <w:left w:val="nil"/>
              <w:bottom w:val="single" w:sz="4" w:space="0" w:color="auto"/>
              <w:right w:val="single" w:sz="4" w:space="0" w:color="auto"/>
            </w:tcBorders>
            <w:shd w:val="clear" w:color="auto" w:fill="auto"/>
          </w:tcPr>
          <w:p w:rsidR="00E11BB7" w:rsidRDefault="00E11BB7" w:rsidP="00E11BB7">
            <w:pPr>
              <w:jc w:val="center"/>
            </w:pPr>
            <w:r>
              <w:rPr>
                <w:rFonts w:ascii="Arial" w:hAnsi="Arial" w:cs="Arial"/>
                <w:bCs/>
                <w:color w:val="000000"/>
                <w:sz w:val="17"/>
                <w:szCs w:val="17"/>
              </w:rPr>
              <w:t>3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BNT 0405055449 ISN PUBLICO</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42,040,846 </w:t>
            </w:r>
          </w:p>
        </w:tc>
        <w:tc>
          <w:tcPr>
            <w:tcW w:w="2180" w:type="dxa"/>
            <w:tcBorders>
              <w:top w:val="nil"/>
              <w:left w:val="nil"/>
              <w:bottom w:val="single" w:sz="4" w:space="0" w:color="auto"/>
              <w:right w:val="single" w:sz="4" w:space="0" w:color="auto"/>
            </w:tcBorders>
            <w:shd w:val="clear" w:color="auto" w:fill="auto"/>
          </w:tcPr>
          <w:p w:rsidR="00E11BB7" w:rsidRDefault="00E11BB7" w:rsidP="00E11BB7">
            <w:pPr>
              <w:jc w:val="center"/>
            </w:pPr>
            <w:r>
              <w:rPr>
                <w:rFonts w:ascii="Arial" w:hAnsi="Arial" w:cs="Arial"/>
                <w:bCs/>
                <w:color w:val="000000"/>
                <w:sz w:val="17"/>
                <w:szCs w:val="17"/>
              </w:rPr>
              <w:t>3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BNT 0119085202 RECURSOS DISPONIBLES</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325,017,798 </w:t>
            </w:r>
          </w:p>
        </w:tc>
        <w:tc>
          <w:tcPr>
            <w:tcW w:w="2180" w:type="dxa"/>
            <w:tcBorders>
              <w:top w:val="nil"/>
              <w:left w:val="nil"/>
              <w:bottom w:val="single" w:sz="4" w:space="0" w:color="auto"/>
              <w:right w:val="single" w:sz="4" w:space="0" w:color="auto"/>
            </w:tcBorders>
            <w:shd w:val="clear" w:color="auto" w:fill="auto"/>
          </w:tcPr>
          <w:p w:rsidR="00E11BB7" w:rsidRDefault="00E11BB7" w:rsidP="00E11BB7">
            <w:pPr>
              <w:jc w:val="center"/>
            </w:pPr>
            <w:r>
              <w:rPr>
                <w:rFonts w:ascii="Arial" w:hAnsi="Arial" w:cs="Arial"/>
                <w:bCs/>
                <w:color w:val="000000"/>
                <w:sz w:val="17"/>
                <w:szCs w:val="17"/>
              </w:rPr>
              <w:t>3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BVA 0179182381 RAHI</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1,499,986 </w:t>
            </w:r>
          </w:p>
        </w:tc>
        <w:tc>
          <w:tcPr>
            <w:tcW w:w="2180" w:type="dxa"/>
            <w:tcBorders>
              <w:top w:val="nil"/>
              <w:left w:val="nil"/>
              <w:bottom w:val="single" w:sz="4" w:space="0" w:color="auto"/>
              <w:right w:val="single" w:sz="4" w:space="0" w:color="auto"/>
            </w:tcBorders>
            <w:shd w:val="clear" w:color="auto" w:fill="auto"/>
          </w:tcPr>
          <w:p w:rsidR="00E11BB7" w:rsidRDefault="00E11BB7" w:rsidP="00E11BB7">
            <w:pPr>
              <w:jc w:val="center"/>
            </w:pPr>
            <w:r>
              <w:rPr>
                <w:rFonts w:ascii="Arial" w:hAnsi="Arial" w:cs="Arial"/>
                <w:bCs/>
                <w:color w:val="000000"/>
                <w:sz w:val="17"/>
                <w:szCs w:val="17"/>
              </w:rPr>
              <w:t>31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BVA 446533590 PAGO A PROVEEDORES NOMINA EFECTIV</w:t>
            </w:r>
            <w:r>
              <w:rPr>
                <w:rFonts w:ascii="Arial" w:hAnsi="Arial" w:cs="Arial"/>
                <w:bCs/>
                <w:color w:val="000000"/>
                <w:sz w:val="17"/>
                <w:szCs w:val="17"/>
              </w:rPr>
              <w:t>O</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200,000,000 </w:t>
            </w:r>
          </w:p>
        </w:tc>
        <w:tc>
          <w:tcPr>
            <w:tcW w:w="2180" w:type="dxa"/>
            <w:tcBorders>
              <w:top w:val="nil"/>
              <w:left w:val="nil"/>
              <w:bottom w:val="single" w:sz="4" w:space="0" w:color="auto"/>
              <w:right w:val="single" w:sz="4" w:space="0" w:color="auto"/>
            </w:tcBorders>
            <w:shd w:val="clear" w:color="auto" w:fill="auto"/>
          </w:tcPr>
          <w:p w:rsidR="00E11BB7" w:rsidRDefault="00E11BB7" w:rsidP="00E11BB7">
            <w:pPr>
              <w:jc w:val="center"/>
            </w:pPr>
            <w:r>
              <w:rPr>
                <w:rFonts w:ascii="Arial" w:hAnsi="Arial" w:cs="Arial"/>
                <w:bCs/>
                <w:color w:val="000000"/>
                <w:sz w:val="17"/>
                <w:szCs w:val="17"/>
              </w:rPr>
              <w:t>3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BNR 165999460061 RAMO 28 ANTICIPO DE PARTICIPACIONES</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700,176,426 </w:t>
            </w:r>
          </w:p>
        </w:tc>
        <w:tc>
          <w:tcPr>
            <w:tcW w:w="2180" w:type="dxa"/>
            <w:tcBorders>
              <w:top w:val="nil"/>
              <w:left w:val="nil"/>
              <w:bottom w:val="single" w:sz="4" w:space="0" w:color="auto"/>
              <w:right w:val="single" w:sz="4" w:space="0" w:color="auto"/>
            </w:tcBorders>
            <w:shd w:val="clear" w:color="auto" w:fill="auto"/>
          </w:tcPr>
          <w:p w:rsidR="00E11BB7" w:rsidRDefault="00E11BB7" w:rsidP="00E11BB7">
            <w:pPr>
              <w:jc w:val="center"/>
            </w:pPr>
            <w:r>
              <w:rPr>
                <w:rFonts w:ascii="Arial" w:hAnsi="Arial" w:cs="Arial"/>
                <w:bCs/>
                <w:color w:val="000000"/>
                <w:sz w:val="17"/>
                <w:szCs w:val="17"/>
              </w:rPr>
              <w:t>3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BSI 98091033 GEQ</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63,722,242 </w:t>
            </w:r>
          </w:p>
        </w:tc>
        <w:tc>
          <w:tcPr>
            <w:tcW w:w="2180" w:type="dxa"/>
            <w:tcBorders>
              <w:top w:val="nil"/>
              <w:left w:val="nil"/>
              <w:bottom w:val="single" w:sz="4" w:space="0" w:color="auto"/>
              <w:right w:val="single" w:sz="4" w:space="0" w:color="auto"/>
            </w:tcBorders>
            <w:shd w:val="clear" w:color="auto" w:fill="auto"/>
            <w:vAlign w:val="center"/>
          </w:tcPr>
          <w:p w:rsidR="00E11BB7" w:rsidRPr="00D04AD0" w:rsidRDefault="00E11BB7" w:rsidP="00E11BB7">
            <w:pPr>
              <w:jc w:val="center"/>
              <w:rPr>
                <w:rFonts w:ascii="Arial" w:hAnsi="Arial" w:cs="Arial"/>
                <w:bCs/>
                <w:color w:val="000000"/>
                <w:sz w:val="17"/>
                <w:szCs w:val="17"/>
              </w:rPr>
            </w:pPr>
            <w:r>
              <w:rPr>
                <w:rFonts w:ascii="Arial" w:hAnsi="Arial" w:cs="Arial"/>
                <w:bCs/>
                <w:color w:val="000000"/>
                <w:sz w:val="17"/>
                <w:szCs w:val="17"/>
              </w:rPr>
              <w:t>31 días</w:t>
            </w:r>
          </w:p>
        </w:tc>
      </w:tr>
      <w:tr w:rsidR="00E11BB7" w:rsidTr="00B445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11BB7" w:rsidRPr="001E5A70" w:rsidRDefault="00E11BB7" w:rsidP="00E11BB7">
            <w:pPr>
              <w:rPr>
                <w:rFonts w:ascii="Arial" w:hAnsi="Arial" w:cs="Arial"/>
                <w:bCs/>
                <w:color w:val="000000"/>
                <w:sz w:val="17"/>
                <w:szCs w:val="17"/>
              </w:rPr>
            </w:pPr>
            <w:r w:rsidRPr="001E5A70">
              <w:rPr>
                <w:rFonts w:ascii="Arial" w:hAnsi="Arial" w:cs="Arial"/>
                <w:bCs/>
                <w:color w:val="000000"/>
                <w:sz w:val="17"/>
                <w:szCs w:val="17"/>
              </w:rPr>
              <w:t>MUL 05818745 RECURSOS GEQ</w:t>
            </w:r>
          </w:p>
        </w:tc>
        <w:tc>
          <w:tcPr>
            <w:tcW w:w="2180" w:type="dxa"/>
            <w:tcBorders>
              <w:top w:val="nil"/>
              <w:left w:val="nil"/>
              <w:bottom w:val="single" w:sz="4" w:space="0" w:color="auto"/>
              <w:right w:val="single" w:sz="4" w:space="0" w:color="auto"/>
            </w:tcBorders>
            <w:shd w:val="clear" w:color="auto" w:fill="auto"/>
            <w:vAlign w:val="center"/>
            <w:hideMark/>
          </w:tcPr>
          <w:p w:rsidR="00E11BB7" w:rsidRPr="00D04AD0" w:rsidRDefault="00E11BB7" w:rsidP="00E11BB7">
            <w:pPr>
              <w:jc w:val="center"/>
              <w:rPr>
                <w:rFonts w:ascii="Arial" w:hAnsi="Arial" w:cs="Arial"/>
                <w:bCs/>
                <w:color w:val="000000"/>
                <w:sz w:val="17"/>
                <w:szCs w:val="17"/>
              </w:rPr>
            </w:pPr>
            <w:r w:rsidRPr="00D04AD0">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E11BB7" w:rsidRPr="00E11BB7" w:rsidRDefault="00E11BB7" w:rsidP="00E11BB7">
            <w:pPr>
              <w:jc w:val="right"/>
              <w:rPr>
                <w:rFonts w:ascii="Arial" w:hAnsi="Arial" w:cs="Arial"/>
                <w:sz w:val="17"/>
                <w:szCs w:val="17"/>
              </w:rPr>
            </w:pPr>
            <w:r w:rsidRPr="00E11BB7">
              <w:rPr>
                <w:rFonts w:ascii="Arial" w:hAnsi="Arial" w:cs="Arial"/>
                <w:sz w:val="17"/>
                <w:szCs w:val="17"/>
              </w:rPr>
              <w:t xml:space="preserve">20,765,454 </w:t>
            </w:r>
          </w:p>
        </w:tc>
        <w:tc>
          <w:tcPr>
            <w:tcW w:w="2180" w:type="dxa"/>
            <w:tcBorders>
              <w:top w:val="nil"/>
              <w:left w:val="nil"/>
              <w:bottom w:val="single" w:sz="4" w:space="0" w:color="auto"/>
              <w:right w:val="single" w:sz="4" w:space="0" w:color="auto"/>
            </w:tcBorders>
            <w:shd w:val="clear" w:color="auto" w:fill="auto"/>
            <w:vAlign w:val="center"/>
          </w:tcPr>
          <w:p w:rsidR="00E11BB7" w:rsidRPr="00D04AD0" w:rsidRDefault="00E11BB7" w:rsidP="00E11BB7">
            <w:pPr>
              <w:jc w:val="center"/>
              <w:rPr>
                <w:rFonts w:ascii="Arial" w:hAnsi="Arial" w:cs="Arial"/>
                <w:bCs/>
                <w:color w:val="000000"/>
                <w:sz w:val="17"/>
                <w:szCs w:val="17"/>
              </w:rPr>
            </w:pPr>
            <w:r>
              <w:rPr>
                <w:rFonts w:ascii="Arial" w:hAnsi="Arial" w:cs="Arial"/>
                <w:bCs/>
                <w:color w:val="000000"/>
                <w:sz w:val="17"/>
                <w:szCs w:val="17"/>
              </w:rPr>
              <w:t>31 días</w:t>
            </w:r>
          </w:p>
        </w:tc>
      </w:tr>
      <w:tr w:rsidR="00D536B8" w:rsidRPr="002D70DA" w:rsidTr="00D536B8">
        <w:trPr>
          <w:trHeight w:val="240"/>
          <w:jc w:val="center"/>
        </w:trPr>
        <w:tc>
          <w:tcPr>
            <w:tcW w:w="4900" w:type="dxa"/>
            <w:tcBorders>
              <w:top w:val="nil"/>
              <w:left w:val="nil"/>
              <w:bottom w:val="nil"/>
              <w:right w:val="nil"/>
            </w:tcBorders>
            <w:shd w:val="clear" w:color="000000" w:fill="FFFFFF"/>
            <w:vAlign w:val="center"/>
            <w:hideMark/>
          </w:tcPr>
          <w:p w:rsidR="00D536B8" w:rsidRPr="002D70DA" w:rsidRDefault="00D536B8" w:rsidP="002342BD">
            <w:pPr>
              <w:jc w:val="center"/>
              <w:rPr>
                <w:rFonts w:ascii="Arial" w:hAnsi="Arial" w:cs="Arial"/>
                <w:b/>
                <w:bCs/>
                <w:color w:val="000000"/>
                <w:sz w:val="17"/>
                <w:szCs w:val="17"/>
              </w:rPr>
            </w:pPr>
            <w:r w:rsidRPr="002D70DA">
              <w:rPr>
                <w:rFonts w:ascii="Arial" w:hAnsi="Arial" w:cs="Arial"/>
                <w:b/>
                <w:bCs/>
                <w:color w:val="000000"/>
                <w:sz w:val="17"/>
                <w:szCs w:val="17"/>
              </w:rPr>
              <w:t>T</w:t>
            </w:r>
            <w:r w:rsidR="00A600F3">
              <w:rPr>
                <w:rFonts w:ascii="Arial" w:hAnsi="Arial" w:cs="Arial"/>
                <w:b/>
                <w:bCs/>
                <w:color w:val="000000"/>
                <w:sz w:val="17"/>
                <w:szCs w:val="17"/>
              </w:rPr>
              <w:t>otal</w:t>
            </w:r>
          </w:p>
        </w:tc>
        <w:tc>
          <w:tcPr>
            <w:tcW w:w="2180" w:type="dxa"/>
            <w:tcBorders>
              <w:top w:val="nil"/>
              <w:left w:val="nil"/>
              <w:bottom w:val="nil"/>
              <w:right w:val="nil"/>
            </w:tcBorders>
            <w:shd w:val="clear" w:color="000000" w:fill="FFFFFF"/>
            <w:vAlign w:val="center"/>
            <w:hideMark/>
          </w:tcPr>
          <w:p w:rsidR="00D536B8" w:rsidRPr="002D70DA" w:rsidRDefault="00D536B8" w:rsidP="002342BD">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D536B8" w:rsidRPr="002D70DA" w:rsidRDefault="00D536B8" w:rsidP="002342B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E11BB7" w:rsidRPr="00E11BB7">
              <w:rPr>
                <w:rFonts w:ascii="Arial" w:hAnsi="Arial" w:cs="Arial"/>
                <w:b/>
                <w:bCs/>
                <w:noProof/>
                <w:color w:val="000000"/>
                <w:sz w:val="17"/>
                <w:szCs w:val="17"/>
                <w14:numForm w14:val="lining"/>
              </w:rPr>
              <w:t xml:space="preserve">2,238,050,406 </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D536B8" w:rsidRPr="002D70DA" w:rsidRDefault="00D536B8" w:rsidP="002342BD">
            <w:pPr>
              <w:jc w:val="both"/>
              <w:rPr>
                <w:rFonts w:ascii="Arial" w:hAnsi="Arial" w:cs="Arial"/>
                <w:color w:val="000000"/>
                <w:sz w:val="17"/>
                <w:szCs w:val="17"/>
              </w:rPr>
            </w:pPr>
            <w:r w:rsidRPr="002D70DA">
              <w:rPr>
                <w:rFonts w:ascii="Arial" w:hAnsi="Arial" w:cs="Arial"/>
                <w:color w:val="000000"/>
                <w:sz w:val="17"/>
                <w:szCs w:val="17"/>
              </w:rPr>
              <w:t> </w:t>
            </w:r>
          </w:p>
        </w:tc>
      </w:tr>
    </w:tbl>
    <w:p w:rsidR="00D536B8" w:rsidRPr="002D70DA" w:rsidRDefault="00D536B8" w:rsidP="00756556">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del Poder Ejecutivo del Estado de Querétaro:</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2470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56027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60276" w:rsidRPr="00560276" w:rsidRDefault="00560276" w:rsidP="00560276">
            <w:pPr>
              <w:rPr>
                <w:rFonts w:ascii="Arial" w:hAnsi="Arial" w:cs="Arial"/>
                <w:sz w:val="17"/>
                <w:szCs w:val="17"/>
              </w:rPr>
            </w:pPr>
            <w:r w:rsidRPr="00560276">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486,824,688 </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586,963,749 </w:t>
            </w:r>
          </w:p>
        </w:tc>
      </w:tr>
      <w:tr w:rsidR="0056027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60276" w:rsidRPr="00560276" w:rsidRDefault="00560276" w:rsidP="00560276">
            <w:pPr>
              <w:rPr>
                <w:rFonts w:ascii="Arial" w:hAnsi="Arial" w:cs="Arial"/>
                <w:sz w:val="17"/>
                <w:szCs w:val="17"/>
              </w:rPr>
            </w:pPr>
            <w:r w:rsidRPr="00560276">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8,879,424 </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139,196,284 </w:t>
            </w:r>
          </w:p>
        </w:tc>
      </w:tr>
      <w:tr w:rsidR="0056027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60276" w:rsidRPr="00560276" w:rsidRDefault="00560276" w:rsidP="00560276">
            <w:pPr>
              <w:rPr>
                <w:rFonts w:ascii="Arial" w:hAnsi="Arial" w:cs="Arial"/>
                <w:sz w:val="17"/>
                <w:szCs w:val="17"/>
              </w:rPr>
            </w:pPr>
            <w:r w:rsidRPr="00560276">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21,135,569 </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17,854,322 </w:t>
            </w:r>
          </w:p>
        </w:tc>
      </w:tr>
      <w:tr w:rsidR="0056027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60276" w:rsidRPr="00560276" w:rsidRDefault="00560276" w:rsidP="00560276">
            <w:pPr>
              <w:rPr>
                <w:rFonts w:ascii="Arial" w:hAnsi="Arial" w:cs="Arial"/>
                <w:sz w:val="17"/>
                <w:szCs w:val="17"/>
              </w:rPr>
            </w:pPr>
            <w:r w:rsidRPr="00560276">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2,024,456 </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4,093,431 </w:t>
            </w:r>
          </w:p>
        </w:tc>
      </w:tr>
      <w:tr w:rsidR="0056027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60276" w:rsidRPr="00560276" w:rsidRDefault="00560276" w:rsidP="00560276">
            <w:pPr>
              <w:rPr>
                <w:rFonts w:ascii="Arial" w:hAnsi="Arial" w:cs="Arial"/>
                <w:sz w:val="17"/>
                <w:szCs w:val="17"/>
              </w:rPr>
            </w:pPr>
            <w:r w:rsidRPr="00560276">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15,012,800 </w:t>
            </w:r>
          </w:p>
        </w:tc>
        <w:tc>
          <w:tcPr>
            <w:tcW w:w="2180" w:type="dxa"/>
            <w:tcBorders>
              <w:top w:val="single" w:sz="4" w:space="0" w:color="auto"/>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43,399,143 </w:t>
            </w:r>
          </w:p>
        </w:tc>
      </w:tr>
      <w:tr w:rsidR="00560276" w:rsidRPr="002D70DA" w:rsidTr="0056027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60276" w:rsidRPr="00560276" w:rsidRDefault="00560276" w:rsidP="00560276">
            <w:pPr>
              <w:rPr>
                <w:rFonts w:ascii="Arial" w:hAnsi="Arial" w:cs="Arial"/>
                <w:sz w:val="17"/>
                <w:szCs w:val="17"/>
              </w:rPr>
            </w:pPr>
            <w:r w:rsidRPr="00560276">
              <w:rPr>
                <w:rFonts w:ascii="Arial" w:hAnsi="Arial" w:cs="Arial"/>
                <w:sz w:val="17"/>
                <w:szCs w:val="17"/>
              </w:rPr>
              <w:t>Otros Derechos a Recibir Efectivo o Equivalentes a Corto Plazo</w:t>
            </w:r>
          </w:p>
        </w:tc>
        <w:tc>
          <w:tcPr>
            <w:tcW w:w="2180" w:type="dxa"/>
            <w:tcBorders>
              <w:top w:val="nil"/>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auto" w:fill="auto"/>
          </w:tcPr>
          <w:p w:rsidR="00560276" w:rsidRPr="00560276" w:rsidRDefault="00560276" w:rsidP="00560276">
            <w:pPr>
              <w:jc w:val="right"/>
              <w:rPr>
                <w:rFonts w:ascii="Arial" w:hAnsi="Arial" w:cs="Arial"/>
                <w:sz w:val="17"/>
                <w:szCs w:val="17"/>
              </w:rPr>
            </w:pPr>
            <w:r w:rsidRPr="00560276">
              <w:rPr>
                <w:rFonts w:ascii="Arial" w:hAnsi="Arial" w:cs="Arial"/>
                <w:sz w:val="17"/>
                <w:szCs w:val="17"/>
              </w:rPr>
              <w:t xml:space="preserve">238,421,435 </w:t>
            </w:r>
          </w:p>
        </w:tc>
      </w:tr>
      <w:tr w:rsidR="00ED5AC6" w:rsidRPr="002D70DA" w:rsidTr="001A0060">
        <w:trPr>
          <w:trHeight w:val="240"/>
          <w:jc w:val="center"/>
        </w:trPr>
        <w:tc>
          <w:tcPr>
            <w:tcW w:w="4900" w:type="dxa"/>
            <w:tcBorders>
              <w:top w:val="nil"/>
              <w:left w:val="nil"/>
              <w:bottom w:val="nil"/>
              <w:right w:val="single" w:sz="4" w:space="0" w:color="auto"/>
            </w:tcBorders>
            <w:shd w:val="clear" w:color="000000" w:fill="FFFFFF"/>
            <w:vAlign w:val="center"/>
            <w:hideMark/>
          </w:tcPr>
          <w:p w:rsidR="00ED5AC6" w:rsidRPr="002D70DA" w:rsidRDefault="00ED5AC6" w:rsidP="001A006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ED5AC6" w:rsidRPr="002D70DA" w:rsidRDefault="00ED5AC6" w:rsidP="001A0060">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60276" w:rsidRPr="00560276">
              <w:rPr>
                <w:rFonts w:ascii="Arial" w:hAnsi="Arial" w:cs="Arial"/>
                <w:b/>
                <w:bCs/>
                <w:noProof/>
                <w:color w:val="000000"/>
                <w:sz w:val="17"/>
                <w:szCs w:val="17"/>
                <w14:numForm w14:val="lining"/>
              </w:rPr>
              <w:t>533,876,937</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D5AC6" w:rsidRPr="002D70DA" w:rsidRDefault="00ED5AC6" w:rsidP="001A0060">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60276" w:rsidRPr="00560276">
              <w:rPr>
                <w:rFonts w:ascii="Arial" w:hAnsi="Arial" w:cs="Arial"/>
                <w:b/>
                <w:bCs/>
                <w:noProof/>
                <w:color w:val="000000"/>
                <w:sz w:val="17"/>
                <w:szCs w:val="17"/>
                <w14:numForm w14:val="lining"/>
              </w:rPr>
              <w:t>1,029,928,363</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ED5AC6" w:rsidRDefault="00560276" w:rsidP="00AE5C9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Destaca </w:t>
      </w:r>
      <w:r w:rsidR="0024708F">
        <w:rPr>
          <w:rFonts w:ascii="Arial" w:eastAsia="Calibri" w:hAnsi="Arial" w:cs="Arial"/>
          <w:spacing w:val="-1"/>
          <w:sz w:val="17"/>
          <w:szCs w:val="17"/>
        </w:rPr>
        <w:t>el ajuste</w:t>
      </w:r>
      <w:r>
        <w:rPr>
          <w:rFonts w:ascii="Arial" w:eastAsia="Calibri" w:hAnsi="Arial" w:cs="Arial"/>
          <w:spacing w:val="-1"/>
          <w:sz w:val="17"/>
          <w:szCs w:val="17"/>
        </w:rPr>
        <w:t xml:space="preserve"> del registro que se tenía reflejado en la cuenta </w:t>
      </w:r>
      <w:r w:rsidRPr="00560276">
        <w:rPr>
          <w:rFonts w:ascii="Arial" w:eastAsia="Calibri" w:hAnsi="Arial" w:cs="Arial"/>
          <w:spacing w:val="-1"/>
          <w:sz w:val="17"/>
          <w:szCs w:val="17"/>
        </w:rPr>
        <w:t>Otros Derechos a Recibir Efectivo o Equivalentes a Corto Plazo</w:t>
      </w:r>
      <w:r w:rsidR="00CA4EAB">
        <w:rPr>
          <w:rFonts w:ascii="Arial" w:eastAsia="Calibri" w:hAnsi="Arial" w:cs="Arial"/>
          <w:spacing w:val="-1"/>
          <w:sz w:val="17"/>
          <w:szCs w:val="17"/>
        </w:rPr>
        <w:t xml:space="preserve">, por un importe de </w:t>
      </w:r>
      <w:r>
        <w:rPr>
          <w:rFonts w:ascii="Arial" w:eastAsia="Calibri" w:hAnsi="Arial" w:cs="Arial"/>
          <w:spacing w:val="-1"/>
          <w:sz w:val="17"/>
          <w:szCs w:val="17"/>
        </w:rPr>
        <w:t>238,421,435</w:t>
      </w:r>
      <w:r w:rsidR="0024708F">
        <w:rPr>
          <w:rFonts w:ascii="Arial" w:eastAsia="Calibri" w:hAnsi="Arial" w:cs="Arial"/>
          <w:spacing w:val="-1"/>
          <w:sz w:val="17"/>
          <w:szCs w:val="17"/>
        </w:rPr>
        <w:t xml:space="preserve"> correspondiente al </w:t>
      </w:r>
      <w:r w:rsidR="0024708F" w:rsidRPr="0024708F">
        <w:rPr>
          <w:rFonts w:ascii="Arial" w:eastAsia="Calibri" w:hAnsi="Arial" w:cs="Arial"/>
          <w:spacing w:val="-1"/>
          <w:sz w:val="17"/>
          <w:szCs w:val="17"/>
        </w:rPr>
        <w:t>Fondo metropolitano ciudad de Querétaro</w:t>
      </w:r>
      <w:r>
        <w:rPr>
          <w:rFonts w:ascii="Arial" w:eastAsia="Calibri" w:hAnsi="Arial" w:cs="Arial"/>
          <w:spacing w:val="-1"/>
          <w:sz w:val="17"/>
          <w:szCs w:val="17"/>
        </w:rPr>
        <w:t>.</w:t>
      </w:r>
    </w:p>
    <w:p w:rsidR="00560276" w:rsidRDefault="00560276" w:rsidP="00AE5C9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Adicional se comenta que para el ejercicio que se informa</w:t>
      </w:r>
      <w:r w:rsidR="002A13AC">
        <w:rPr>
          <w:rFonts w:ascii="Arial" w:eastAsia="Calibri" w:hAnsi="Arial" w:cs="Arial"/>
          <w:spacing w:val="-1"/>
          <w:sz w:val="17"/>
          <w:szCs w:val="17"/>
        </w:rPr>
        <w:t xml:space="preserve"> y en apego al devengado pendiente de pago del </w:t>
      </w:r>
      <w:r w:rsidR="002A13AC" w:rsidRPr="002A13AC">
        <w:rPr>
          <w:rFonts w:ascii="Arial" w:eastAsia="Calibri" w:hAnsi="Arial" w:cs="Arial"/>
          <w:spacing w:val="-1"/>
          <w:sz w:val="17"/>
          <w:szCs w:val="17"/>
        </w:rPr>
        <w:t>Fondo de Aportaciones para la Nómina Edu</w:t>
      </w:r>
      <w:r w:rsidR="002D275F">
        <w:rPr>
          <w:rFonts w:ascii="Arial" w:eastAsia="Calibri" w:hAnsi="Arial" w:cs="Arial"/>
          <w:spacing w:val="-1"/>
          <w:sz w:val="17"/>
          <w:szCs w:val="17"/>
        </w:rPr>
        <w:t>cativa y Gasto Operativo (FONE) informado por la Secretaría de Educación Pública, est</w:t>
      </w:r>
      <w:r w:rsidR="005D776E">
        <w:rPr>
          <w:rFonts w:ascii="Arial" w:eastAsia="Calibri" w:hAnsi="Arial" w:cs="Arial"/>
          <w:spacing w:val="-1"/>
          <w:sz w:val="17"/>
          <w:szCs w:val="17"/>
        </w:rPr>
        <w:t>e</w:t>
      </w:r>
      <w:r w:rsidR="002D275F">
        <w:rPr>
          <w:rFonts w:ascii="Arial" w:eastAsia="Calibri" w:hAnsi="Arial" w:cs="Arial"/>
          <w:spacing w:val="-1"/>
          <w:sz w:val="17"/>
          <w:szCs w:val="17"/>
        </w:rPr>
        <w:t xml:space="preserve"> se redujo en un 9</w:t>
      </w:r>
      <w:r w:rsidR="001D3327">
        <w:rPr>
          <w:rFonts w:ascii="Arial" w:eastAsia="Calibri" w:hAnsi="Arial" w:cs="Arial"/>
          <w:spacing w:val="-1"/>
          <w:sz w:val="17"/>
          <w:szCs w:val="17"/>
        </w:rPr>
        <w:t>7.</w:t>
      </w:r>
      <w:r w:rsidR="007E5211">
        <w:rPr>
          <w:rFonts w:ascii="Arial" w:eastAsia="Calibri" w:hAnsi="Arial" w:cs="Arial"/>
          <w:spacing w:val="-1"/>
          <w:sz w:val="17"/>
          <w:szCs w:val="17"/>
        </w:rPr>
        <w:t>4</w:t>
      </w:r>
      <w:r w:rsidR="00CA4EAB">
        <w:rPr>
          <w:rFonts w:ascii="Arial" w:eastAsia="Calibri" w:hAnsi="Arial" w:cs="Arial"/>
          <w:spacing w:val="-1"/>
          <w:sz w:val="17"/>
          <w:szCs w:val="17"/>
        </w:rPr>
        <w:t xml:space="preserve">%, pasando de </w:t>
      </w:r>
      <w:r w:rsidR="002D275F">
        <w:rPr>
          <w:rFonts w:ascii="Arial" w:eastAsia="Calibri" w:hAnsi="Arial" w:cs="Arial"/>
          <w:spacing w:val="-1"/>
          <w:sz w:val="17"/>
          <w:szCs w:val="17"/>
        </w:rPr>
        <w:t>1</w:t>
      </w:r>
      <w:r w:rsidR="007E5211">
        <w:rPr>
          <w:rFonts w:ascii="Arial" w:eastAsia="Calibri" w:hAnsi="Arial" w:cs="Arial"/>
          <w:spacing w:val="-1"/>
          <w:sz w:val="17"/>
          <w:szCs w:val="17"/>
        </w:rPr>
        <w:t>28,468,693.73</w:t>
      </w:r>
      <w:r w:rsidR="00CA4EAB">
        <w:rPr>
          <w:rFonts w:ascii="Arial" w:eastAsia="Calibri" w:hAnsi="Arial" w:cs="Arial"/>
          <w:spacing w:val="-1"/>
          <w:sz w:val="17"/>
          <w:szCs w:val="17"/>
        </w:rPr>
        <w:t xml:space="preserve"> al cierre del 2015 a </w:t>
      </w:r>
      <w:bookmarkStart w:id="0" w:name="_GoBack"/>
      <w:bookmarkEnd w:id="0"/>
      <w:r w:rsidR="001D3327">
        <w:rPr>
          <w:rFonts w:ascii="Arial" w:eastAsia="Calibri" w:hAnsi="Arial" w:cs="Arial"/>
          <w:spacing w:val="-1"/>
          <w:sz w:val="17"/>
          <w:szCs w:val="17"/>
        </w:rPr>
        <w:t>3,328,850.72</w:t>
      </w:r>
      <w:r w:rsidR="002D275F">
        <w:rPr>
          <w:rFonts w:ascii="Arial" w:eastAsia="Calibri" w:hAnsi="Arial" w:cs="Arial"/>
          <w:spacing w:val="-1"/>
          <w:sz w:val="17"/>
          <w:szCs w:val="17"/>
        </w:rPr>
        <w:t xml:space="preserve"> al cierre del 2016.</w:t>
      </w:r>
      <w:r w:rsidR="00194ABE">
        <w:rPr>
          <w:rFonts w:ascii="Arial" w:eastAsia="Calibri" w:hAnsi="Arial" w:cs="Arial"/>
          <w:spacing w:val="-1"/>
          <w:sz w:val="17"/>
          <w:szCs w:val="17"/>
        </w:rPr>
        <w:t xml:space="preserve"> Reduciendo así el saldo de Cuentas por Cobrar a Corto Plazo.</w:t>
      </w:r>
    </w:p>
    <w:p w:rsidR="00C849DC" w:rsidRPr="002D70DA" w:rsidRDefault="00920FC6" w:rsidP="00BA44C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Dentro de la cuenta </w:t>
      </w:r>
      <w:r w:rsidRPr="00920FC6">
        <w:rPr>
          <w:rFonts w:ascii="Arial" w:eastAsia="Calibri" w:hAnsi="Arial" w:cs="Arial"/>
          <w:spacing w:val="-1"/>
          <w:sz w:val="17"/>
          <w:szCs w:val="17"/>
        </w:rPr>
        <w:t xml:space="preserve">Ingresos por Recuperar a Corto Plazo </w:t>
      </w:r>
      <w:r w:rsidR="00DE2809">
        <w:rPr>
          <w:rFonts w:ascii="Arial" w:eastAsia="Calibri" w:hAnsi="Arial" w:cs="Arial"/>
          <w:spacing w:val="-1"/>
          <w:sz w:val="17"/>
          <w:szCs w:val="17"/>
        </w:rPr>
        <w:t xml:space="preserve">se integra en este apartado </w:t>
      </w:r>
      <w:r w:rsidR="006335BE"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006335B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2E7C39" w:rsidRPr="002D70DA">
        <w:rPr>
          <w:rFonts w:ascii="Arial" w:eastAsia="Calibri" w:hAnsi="Arial" w:cs="Arial"/>
          <w:spacing w:val="-1"/>
          <w:sz w:val="17"/>
          <w:szCs w:val="17"/>
        </w:rPr>
        <w:t xml:space="preserve"> </w:t>
      </w:r>
      <w:r w:rsidR="006335BE"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367BC4" w:rsidRPr="002D70DA" w:rsidTr="00194ABE">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67BC4" w:rsidRPr="002D70DA" w:rsidRDefault="00367BC4">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67BC4" w:rsidRPr="002D70DA" w:rsidRDefault="00367BC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67BC4" w:rsidRPr="002D70DA" w:rsidRDefault="00367BC4">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67BC4" w:rsidRPr="002D70DA" w:rsidRDefault="00367BC4">
            <w:pPr>
              <w:jc w:val="center"/>
              <w:rPr>
                <w:rFonts w:ascii="Arial" w:hAnsi="Arial" w:cs="Arial"/>
                <w:b/>
                <w:bCs/>
                <w:color w:val="000000"/>
                <w:sz w:val="17"/>
                <w:szCs w:val="17"/>
              </w:rPr>
            </w:pPr>
            <w:r w:rsidRPr="002D70DA">
              <w:rPr>
                <w:rFonts w:ascii="Arial" w:hAnsi="Arial" w:cs="Arial"/>
                <w:b/>
                <w:bCs/>
                <w:color w:val="000000"/>
                <w:sz w:val="17"/>
                <w:szCs w:val="17"/>
              </w:rPr>
              <w:t>Factibilidad de cobro</w:t>
            </w:r>
          </w:p>
        </w:tc>
      </w:tr>
      <w:tr w:rsidR="00367BC4" w:rsidRPr="002D70DA" w:rsidTr="00194AB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367BC4" w:rsidRPr="002D70DA" w:rsidRDefault="00367BC4" w:rsidP="00194ABE">
            <w:pPr>
              <w:ind w:left="67"/>
              <w:rPr>
                <w:rFonts w:ascii="Arial" w:hAnsi="Arial" w:cs="Arial"/>
                <w:color w:val="000000"/>
                <w:sz w:val="17"/>
                <w:szCs w:val="17"/>
              </w:rPr>
            </w:pPr>
            <w:r>
              <w:rPr>
                <w:rFonts w:ascii="Arial" w:hAnsi="Arial" w:cs="Arial"/>
                <w:color w:val="000000"/>
                <w:sz w:val="17"/>
                <w:szCs w:val="17"/>
              </w:rPr>
              <w:t>Contribuciones pagadas con cheques sin fondos</w:t>
            </w:r>
          </w:p>
        </w:tc>
        <w:tc>
          <w:tcPr>
            <w:tcW w:w="2180" w:type="dxa"/>
            <w:tcBorders>
              <w:top w:val="nil"/>
              <w:left w:val="nil"/>
              <w:bottom w:val="single" w:sz="4" w:space="0" w:color="auto"/>
              <w:right w:val="single" w:sz="4" w:space="0" w:color="auto"/>
            </w:tcBorders>
            <w:shd w:val="clear" w:color="auto" w:fill="auto"/>
            <w:vAlign w:val="center"/>
          </w:tcPr>
          <w:p w:rsidR="00367BC4" w:rsidRPr="0055474B" w:rsidRDefault="00367BC4">
            <w:pPr>
              <w:jc w:val="right"/>
              <w:rPr>
                <w:rFonts w:ascii="Arial" w:hAnsi="Arial" w:cs="Arial"/>
                <w:bCs/>
                <w:color w:val="000000"/>
                <w:sz w:val="17"/>
                <w:szCs w:val="17"/>
              </w:rPr>
            </w:pPr>
            <w:r w:rsidRPr="007908E3">
              <w:rPr>
                <w:rFonts w:ascii="Arial" w:hAnsi="Arial" w:cs="Arial"/>
                <w:bCs/>
                <w:color w:val="000000"/>
                <w:sz w:val="17"/>
                <w:szCs w:val="17"/>
              </w:rPr>
              <w:t>858</w:t>
            </w:r>
            <w:r>
              <w:rPr>
                <w:rFonts w:ascii="Arial" w:hAnsi="Arial" w:cs="Arial"/>
                <w:bCs/>
                <w:color w:val="000000"/>
                <w:sz w:val="17"/>
                <w:szCs w:val="17"/>
              </w:rPr>
              <w:t>,</w:t>
            </w:r>
            <w:r w:rsidRPr="007908E3">
              <w:rPr>
                <w:rFonts w:ascii="Arial" w:hAnsi="Arial" w:cs="Arial"/>
                <w:bCs/>
                <w:color w:val="000000"/>
                <w:sz w:val="17"/>
                <w:szCs w:val="17"/>
              </w:rPr>
              <w:t>227.8</w:t>
            </w:r>
            <w:r>
              <w:rPr>
                <w:rFonts w:ascii="Arial" w:hAnsi="Arial" w:cs="Arial"/>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tcPr>
          <w:p w:rsidR="00367BC4" w:rsidRPr="0055474B" w:rsidRDefault="00367BC4">
            <w:pPr>
              <w:jc w:val="right"/>
              <w:rPr>
                <w:rFonts w:ascii="Arial" w:hAnsi="Arial" w:cs="Arial"/>
                <w:bCs/>
                <w:color w:val="000000"/>
                <w:sz w:val="17"/>
                <w:szCs w:val="17"/>
              </w:rPr>
            </w:pPr>
            <w:r w:rsidRPr="007908E3">
              <w:rPr>
                <w:rFonts w:ascii="Arial" w:hAnsi="Arial" w:cs="Arial"/>
                <w:bCs/>
                <w:color w:val="000000"/>
                <w:sz w:val="17"/>
                <w:szCs w:val="17"/>
              </w:rPr>
              <w:t>622,000.00</w:t>
            </w:r>
          </w:p>
        </w:tc>
        <w:tc>
          <w:tcPr>
            <w:tcW w:w="2180" w:type="dxa"/>
            <w:tcBorders>
              <w:top w:val="nil"/>
              <w:left w:val="nil"/>
              <w:bottom w:val="single" w:sz="4" w:space="0" w:color="auto"/>
              <w:right w:val="single" w:sz="4" w:space="0" w:color="auto"/>
            </w:tcBorders>
            <w:shd w:val="clear" w:color="auto" w:fill="auto"/>
            <w:vAlign w:val="center"/>
          </w:tcPr>
          <w:p w:rsidR="00367BC4" w:rsidRPr="00E84AB2" w:rsidRDefault="00367BC4">
            <w:pPr>
              <w:jc w:val="center"/>
              <w:rPr>
                <w:rFonts w:ascii="Arial" w:hAnsi="Arial" w:cs="Arial"/>
                <w:bCs/>
                <w:color w:val="000000"/>
                <w:sz w:val="17"/>
                <w:szCs w:val="17"/>
              </w:rPr>
            </w:pPr>
            <w:r>
              <w:rPr>
                <w:rFonts w:ascii="Arial" w:hAnsi="Arial" w:cs="Arial"/>
                <w:bCs/>
                <w:color w:val="000000"/>
                <w:sz w:val="17"/>
                <w:szCs w:val="17"/>
              </w:rPr>
              <w:t>7</w:t>
            </w:r>
            <w:r w:rsidRPr="00E84AB2">
              <w:rPr>
                <w:rFonts w:ascii="Arial" w:hAnsi="Arial" w:cs="Arial"/>
                <w:bCs/>
                <w:color w:val="000000"/>
                <w:sz w:val="17"/>
                <w:szCs w:val="17"/>
              </w:rPr>
              <w:t>0 por ciento</w:t>
            </w:r>
          </w:p>
        </w:tc>
      </w:tr>
      <w:tr w:rsidR="00367BC4" w:rsidRPr="002D70DA" w:rsidTr="00194AB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367BC4" w:rsidRDefault="00367BC4" w:rsidP="00194ABE">
            <w:pPr>
              <w:ind w:left="67"/>
              <w:rPr>
                <w:rFonts w:ascii="Arial" w:hAnsi="Arial" w:cs="Arial"/>
                <w:color w:val="000000"/>
                <w:sz w:val="17"/>
                <w:szCs w:val="17"/>
              </w:rPr>
            </w:pPr>
            <w:r>
              <w:rPr>
                <w:rFonts w:ascii="Arial" w:hAnsi="Arial" w:cs="Arial"/>
                <w:color w:val="000000"/>
                <w:sz w:val="17"/>
                <w:szCs w:val="17"/>
              </w:rPr>
              <w:t>C</w:t>
            </w:r>
            <w:r w:rsidRPr="007908E3">
              <w:rPr>
                <w:rFonts w:ascii="Arial" w:hAnsi="Arial" w:cs="Arial"/>
                <w:color w:val="000000"/>
                <w:sz w:val="17"/>
                <w:szCs w:val="17"/>
              </w:rPr>
              <w:t>ontribuciones cobradas OXXO</w:t>
            </w:r>
          </w:p>
        </w:tc>
        <w:tc>
          <w:tcPr>
            <w:tcW w:w="2180" w:type="dxa"/>
            <w:tcBorders>
              <w:top w:val="nil"/>
              <w:left w:val="nil"/>
              <w:bottom w:val="single" w:sz="4" w:space="0" w:color="auto"/>
              <w:right w:val="single" w:sz="4" w:space="0" w:color="auto"/>
            </w:tcBorders>
            <w:shd w:val="clear" w:color="auto" w:fill="auto"/>
            <w:vAlign w:val="center"/>
          </w:tcPr>
          <w:p w:rsidR="00367BC4" w:rsidRPr="007908E3" w:rsidRDefault="00367BC4">
            <w:pPr>
              <w:jc w:val="right"/>
              <w:rPr>
                <w:rFonts w:ascii="Arial" w:hAnsi="Arial" w:cs="Arial"/>
                <w:bCs/>
                <w:color w:val="000000"/>
                <w:sz w:val="17"/>
                <w:szCs w:val="17"/>
              </w:rPr>
            </w:pPr>
            <w:r w:rsidRPr="007908E3">
              <w:rPr>
                <w:rFonts w:ascii="Arial" w:hAnsi="Arial" w:cs="Arial"/>
                <w:bCs/>
                <w:color w:val="000000"/>
                <w:sz w:val="17"/>
                <w:szCs w:val="17"/>
              </w:rPr>
              <w:t>1</w:t>
            </w:r>
            <w:r>
              <w:rPr>
                <w:rFonts w:ascii="Arial" w:hAnsi="Arial" w:cs="Arial"/>
                <w:bCs/>
                <w:color w:val="000000"/>
                <w:sz w:val="17"/>
                <w:szCs w:val="17"/>
              </w:rPr>
              <w:t>,</w:t>
            </w:r>
            <w:r w:rsidRPr="007908E3">
              <w:rPr>
                <w:rFonts w:ascii="Arial" w:hAnsi="Arial" w:cs="Arial"/>
                <w:bCs/>
                <w:color w:val="000000"/>
                <w:sz w:val="17"/>
                <w:szCs w:val="17"/>
              </w:rPr>
              <w:t>166</w:t>
            </w:r>
            <w:r>
              <w:rPr>
                <w:rFonts w:ascii="Arial" w:hAnsi="Arial" w:cs="Arial"/>
                <w:bCs/>
                <w:color w:val="000000"/>
                <w:sz w:val="17"/>
                <w:szCs w:val="17"/>
              </w:rPr>
              <w:t>,</w:t>
            </w:r>
            <w:r w:rsidRPr="007908E3">
              <w:rPr>
                <w:rFonts w:ascii="Arial" w:hAnsi="Arial" w:cs="Arial"/>
                <w:bCs/>
                <w:color w:val="000000"/>
                <w:sz w:val="17"/>
                <w:szCs w:val="17"/>
              </w:rPr>
              <w:t>228.06</w:t>
            </w:r>
          </w:p>
        </w:tc>
        <w:tc>
          <w:tcPr>
            <w:tcW w:w="2180" w:type="dxa"/>
            <w:tcBorders>
              <w:top w:val="nil"/>
              <w:left w:val="nil"/>
              <w:bottom w:val="single" w:sz="4" w:space="0" w:color="auto"/>
              <w:right w:val="single" w:sz="4" w:space="0" w:color="auto"/>
            </w:tcBorders>
            <w:shd w:val="clear" w:color="auto" w:fill="auto"/>
            <w:vAlign w:val="center"/>
          </w:tcPr>
          <w:p w:rsidR="00367BC4" w:rsidRPr="0055474B" w:rsidRDefault="00367BC4">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67BC4" w:rsidRPr="00E84AB2" w:rsidRDefault="00367BC4">
            <w:pPr>
              <w:jc w:val="center"/>
              <w:rPr>
                <w:rFonts w:ascii="Arial" w:hAnsi="Arial" w:cs="Arial"/>
                <w:bCs/>
                <w:color w:val="000000"/>
                <w:sz w:val="17"/>
                <w:szCs w:val="17"/>
              </w:rPr>
            </w:pPr>
            <w:r>
              <w:rPr>
                <w:rFonts w:ascii="Arial" w:hAnsi="Arial" w:cs="Arial"/>
                <w:bCs/>
                <w:color w:val="000000"/>
                <w:sz w:val="17"/>
                <w:szCs w:val="17"/>
              </w:rPr>
              <w:t>100 por ciento</w:t>
            </w:r>
          </w:p>
        </w:tc>
      </w:tr>
      <w:tr w:rsidR="00367BC4" w:rsidRPr="002D70DA" w:rsidTr="00367BC4">
        <w:trPr>
          <w:trHeight w:val="240"/>
          <w:jc w:val="center"/>
        </w:trPr>
        <w:tc>
          <w:tcPr>
            <w:tcW w:w="4900" w:type="dxa"/>
            <w:tcBorders>
              <w:top w:val="nil"/>
              <w:left w:val="nil"/>
              <w:bottom w:val="nil"/>
              <w:right w:val="nil"/>
            </w:tcBorders>
            <w:shd w:val="clear" w:color="000000" w:fill="FFFFFF"/>
            <w:vAlign w:val="center"/>
            <w:hideMark/>
          </w:tcPr>
          <w:p w:rsidR="00367BC4" w:rsidRPr="002D70DA" w:rsidRDefault="00367BC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67BC4" w:rsidRPr="002D70DA" w:rsidRDefault="00367BC4">
            <w:pPr>
              <w:jc w:val="right"/>
              <w:rPr>
                <w:rFonts w:ascii="Arial" w:hAnsi="Arial" w:cs="Arial"/>
                <w:b/>
                <w:bCs/>
                <w:color w:val="000000"/>
                <w:sz w:val="17"/>
                <w:szCs w:val="17"/>
              </w:rPr>
            </w:pPr>
            <w:r>
              <w:rPr>
                <w:rFonts w:ascii="Arial" w:hAnsi="Arial" w:cs="Arial"/>
                <w:b/>
                <w:bCs/>
                <w:color w:val="000000"/>
                <w:sz w:val="17"/>
                <w:szCs w:val="17"/>
                <w14:numForm w14:val="lining"/>
              </w:rPr>
              <w:fldChar w:fldCharType="begin"/>
            </w:r>
            <w:r>
              <w:rPr>
                <w:rFonts w:ascii="Arial" w:hAnsi="Arial" w:cs="Arial"/>
                <w:b/>
                <w:bCs/>
                <w:color w:val="000000"/>
                <w:sz w:val="17"/>
                <w:szCs w:val="17"/>
                <w14:numForm w14:val="lining"/>
              </w:rPr>
              <w:instrText xml:space="preserve"> =sum(above) \# "$#,##0.00;($#,##0.00)" </w:instrText>
            </w:r>
            <w:r>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2,024,455.86</w:t>
            </w:r>
            <w:r>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367BC4" w:rsidRPr="002D70DA" w:rsidRDefault="00367BC4">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67BC4" w:rsidRPr="002D70DA" w:rsidRDefault="00367BC4">
            <w:pPr>
              <w:jc w:val="both"/>
              <w:rPr>
                <w:rFonts w:ascii="Arial" w:hAnsi="Arial" w:cs="Arial"/>
                <w:color w:val="000000"/>
                <w:sz w:val="17"/>
                <w:szCs w:val="17"/>
              </w:rPr>
            </w:pPr>
            <w:r w:rsidRPr="002D70DA">
              <w:rPr>
                <w:rFonts w:ascii="Arial" w:hAnsi="Arial" w:cs="Arial"/>
                <w:color w:val="000000"/>
                <w:sz w:val="17"/>
                <w:szCs w:val="17"/>
              </w:rPr>
              <w:t> </w:t>
            </w:r>
          </w:p>
        </w:tc>
      </w:tr>
    </w:tbl>
    <w:p w:rsidR="0055474B" w:rsidRDefault="0055474B" w:rsidP="006335BE">
      <w:pPr>
        <w:spacing w:before="80" w:line="250" w:lineRule="exact"/>
        <w:ind w:left="709"/>
        <w:jc w:val="both"/>
        <w:rPr>
          <w:rFonts w:ascii="Arial" w:eastAsia="Calibri" w:hAnsi="Arial" w:cs="Arial"/>
          <w:spacing w:val="-1"/>
          <w:sz w:val="17"/>
          <w:szCs w:val="17"/>
        </w:rPr>
      </w:pPr>
    </w:p>
    <w:p w:rsidR="00A50FFA" w:rsidRDefault="0084187C" w:rsidP="00BA44C4">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w:t>
      </w:r>
      <w:r w:rsidR="00A50FFA">
        <w:rPr>
          <w:rFonts w:ascii="Arial" w:eastAsia="Calibri" w:hAnsi="Arial" w:cs="Arial"/>
          <w:spacing w:val="-1"/>
          <w:sz w:val="17"/>
          <w:szCs w:val="17"/>
        </w:rPr>
        <w:t xml:space="preserve">lo que respecta al </w:t>
      </w:r>
      <w:r w:rsidRPr="00560276">
        <w:rPr>
          <w:rFonts w:ascii="Arial" w:eastAsia="Calibri" w:hAnsi="Arial" w:cs="Arial"/>
          <w:spacing w:val="-1"/>
          <w:sz w:val="17"/>
          <w:szCs w:val="17"/>
        </w:rPr>
        <w:t xml:space="preserve">rubro </w:t>
      </w:r>
      <w:r>
        <w:rPr>
          <w:rFonts w:ascii="Arial" w:eastAsia="Calibri" w:hAnsi="Arial" w:cs="Arial"/>
          <w:spacing w:val="-1"/>
          <w:sz w:val="17"/>
          <w:szCs w:val="17"/>
        </w:rPr>
        <w:t>D</w:t>
      </w:r>
      <w:r w:rsidRPr="00560276">
        <w:rPr>
          <w:rFonts w:ascii="Arial" w:eastAsia="Calibri" w:hAnsi="Arial" w:cs="Arial"/>
          <w:spacing w:val="-1"/>
          <w:sz w:val="17"/>
          <w:szCs w:val="17"/>
        </w:rPr>
        <w:t xml:space="preserve">erechos a </w:t>
      </w:r>
      <w:r>
        <w:rPr>
          <w:rFonts w:ascii="Arial" w:eastAsia="Calibri" w:hAnsi="Arial" w:cs="Arial"/>
          <w:spacing w:val="-1"/>
          <w:sz w:val="17"/>
          <w:szCs w:val="17"/>
        </w:rPr>
        <w:t>R</w:t>
      </w:r>
      <w:r w:rsidRPr="00560276">
        <w:rPr>
          <w:rFonts w:ascii="Arial" w:eastAsia="Calibri" w:hAnsi="Arial" w:cs="Arial"/>
          <w:spacing w:val="-1"/>
          <w:sz w:val="17"/>
          <w:szCs w:val="17"/>
        </w:rPr>
        <w:t xml:space="preserve">ecibir </w:t>
      </w:r>
      <w:r>
        <w:rPr>
          <w:rFonts w:ascii="Arial" w:eastAsia="Calibri" w:hAnsi="Arial" w:cs="Arial"/>
          <w:spacing w:val="-1"/>
          <w:sz w:val="17"/>
          <w:szCs w:val="17"/>
        </w:rPr>
        <w:t>Bienes o Servicios</w:t>
      </w:r>
      <w:r w:rsidRPr="00560276">
        <w:rPr>
          <w:rFonts w:ascii="Arial" w:eastAsia="Calibri" w:hAnsi="Arial" w:cs="Arial"/>
          <w:spacing w:val="-1"/>
          <w:sz w:val="17"/>
          <w:szCs w:val="17"/>
        </w:rPr>
        <w:t xml:space="preserve"> </w:t>
      </w:r>
      <w:r w:rsidR="00A50FFA">
        <w:rPr>
          <w:rFonts w:ascii="Arial" w:eastAsia="Calibri" w:hAnsi="Arial" w:cs="Arial"/>
          <w:spacing w:val="-1"/>
          <w:sz w:val="17"/>
          <w:szCs w:val="17"/>
        </w:rPr>
        <w:t>se presenta un saldo de 0.00 al cierre del ejercicio del 2016, toda vez que comprobaron los anticipos a proveedores y contratistas.</w:t>
      </w:r>
    </w:p>
    <w:p w:rsidR="009C6F9A" w:rsidRDefault="009C6F9A" w:rsidP="006335BE">
      <w:pPr>
        <w:spacing w:before="80" w:line="250" w:lineRule="exact"/>
        <w:ind w:left="709"/>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547241" w:rsidRDefault="00CE4092" w:rsidP="00214B4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w:t>
      </w:r>
      <w:r w:rsidR="00093302">
        <w:rPr>
          <w:rFonts w:ascii="Arial" w:eastAsia="Calibri" w:hAnsi="Arial" w:cs="Arial"/>
          <w:spacing w:val="-1"/>
          <w:sz w:val="17"/>
          <w:szCs w:val="17"/>
        </w:rPr>
        <w:t xml:space="preserve">a, se informa </w:t>
      </w:r>
      <w:r w:rsidR="00282158">
        <w:rPr>
          <w:rFonts w:ascii="Arial" w:eastAsia="Calibri" w:hAnsi="Arial" w:cs="Arial"/>
          <w:spacing w:val="-1"/>
          <w:sz w:val="17"/>
          <w:szCs w:val="17"/>
        </w:rPr>
        <w:t>el saldo de la cuenta de inventarios al 31 de diciembre del 2016.</w:t>
      </w:r>
    </w:p>
    <w:p w:rsidR="00282158" w:rsidRDefault="00282158" w:rsidP="00214B4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inventarios </w:t>
      </w:r>
      <w:r w:rsidR="00547241">
        <w:rPr>
          <w:rFonts w:ascii="Arial" w:eastAsia="Calibri" w:hAnsi="Arial" w:cs="Arial"/>
          <w:spacing w:val="-1"/>
          <w:sz w:val="17"/>
          <w:szCs w:val="17"/>
        </w:rPr>
        <w:t xml:space="preserve">y almacenes </w:t>
      </w:r>
      <w:r>
        <w:rPr>
          <w:rFonts w:ascii="Arial" w:eastAsia="Calibri" w:hAnsi="Arial" w:cs="Arial"/>
          <w:spacing w:val="-1"/>
          <w:sz w:val="17"/>
          <w:szCs w:val="17"/>
        </w:rPr>
        <w:t>se encuentran valuados a su costo de adquisición atendiendo a lo que señalan las Principales Reglas de Registro y Valoración del Patrimonio (Elementos Generales) emitidos por el Consejo Nacional de Armonización Contable.</w:t>
      </w:r>
    </w:p>
    <w:p w:rsidR="00F86013" w:rsidRPr="00ED5AC6" w:rsidRDefault="00F86013" w:rsidP="00F8601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86013" w:rsidRPr="002D70DA" w:rsidTr="0001361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6013" w:rsidRPr="002D70DA" w:rsidRDefault="00F86013"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F86013"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6013" w:rsidRPr="00560276" w:rsidRDefault="00547241" w:rsidP="001A0060">
            <w:pPr>
              <w:rPr>
                <w:rFonts w:ascii="Arial" w:hAnsi="Arial" w:cs="Arial"/>
                <w:sz w:val="17"/>
                <w:szCs w:val="17"/>
              </w:rPr>
            </w:pPr>
            <w:r w:rsidRPr="00547241">
              <w:rPr>
                <w:rFonts w:ascii="Arial" w:hAnsi="Arial" w:cs="Arial"/>
                <w:sz w:val="17"/>
                <w:szCs w:val="17"/>
              </w:rPr>
              <w:t>Inventario de Materias Primas, Materiales y Suministros para Producción</w:t>
            </w:r>
          </w:p>
        </w:tc>
        <w:tc>
          <w:tcPr>
            <w:tcW w:w="2180" w:type="dxa"/>
            <w:tcBorders>
              <w:top w:val="single" w:sz="4" w:space="0" w:color="auto"/>
              <w:left w:val="nil"/>
              <w:bottom w:val="single" w:sz="4" w:space="0" w:color="auto"/>
              <w:right w:val="single" w:sz="4" w:space="0" w:color="auto"/>
            </w:tcBorders>
            <w:shd w:val="clear" w:color="auto" w:fill="auto"/>
          </w:tcPr>
          <w:p w:rsidR="00F86013" w:rsidRPr="00560276" w:rsidRDefault="00547241" w:rsidP="001A0060">
            <w:pPr>
              <w:jc w:val="right"/>
              <w:rPr>
                <w:rFonts w:ascii="Arial" w:hAnsi="Arial" w:cs="Arial"/>
                <w:sz w:val="17"/>
                <w:szCs w:val="17"/>
              </w:rPr>
            </w:pPr>
            <w:r>
              <w:rPr>
                <w:rFonts w:ascii="Arial" w:hAnsi="Arial" w:cs="Arial"/>
                <w:sz w:val="17"/>
                <w:szCs w:val="17"/>
              </w:rPr>
              <w:t>684,567</w:t>
            </w:r>
          </w:p>
        </w:tc>
        <w:tc>
          <w:tcPr>
            <w:tcW w:w="2180" w:type="dxa"/>
            <w:tcBorders>
              <w:top w:val="single" w:sz="4" w:space="0" w:color="auto"/>
              <w:left w:val="nil"/>
              <w:bottom w:val="single" w:sz="4" w:space="0" w:color="auto"/>
              <w:right w:val="single" w:sz="4" w:space="0" w:color="auto"/>
            </w:tcBorders>
            <w:shd w:val="clear" w:color="auto" w:fill="auto"/>
          </w:tcPr>
          <w:p w:rsidR="00F86013" w:rsidRPr="00560276" w:rsidRDefault="00547241" w:rsidP="001A0060">
            <w:pPr>
              <w:jc w:val="right"/>
              <w:rPr>
                <w:rFonts w:ascii="Arial" w:hAnsi="Arial" w:cs="Arial"/>
                <w:sz w:val="17"/>
                <w:szCs w:val="17"/>
              </w:rPr>
            </w:pPr>
            <w:r>
              <w:rPr>
                <w:rFonts w:ascii="Arial" w:hAnsi="Arial" w:cs="Arial"/>
                <w:sz w:val="17"/>
                <w:szCs w:val="17"/>
              </w:rPr>
              <w:t>281,935</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785016" w:rsidRPr="00785016" w:rsidRDefault="00785016" w:rsidP="00214B4E">
      <w:pPr>
        <w:spacing w:before="80" w:line="250" w:lineRule="exact"/>
        <w:ind w:left="709"/>
        <w:jc w:val="both"/>
        <w:rPr>
          <w:rFonts w:ascii="Arial" w:eastAsia="Calibri" w:hAnsi="Arial" w:cs="Arial"/>
          <w:spacing w:val="-1"/>
          <w:sz w:val="17"/>
          <w:szCs w:val="17"/>
        </w:rPr>
      </w:pPr>
      <w:r w:rsidRPr="00785016">
        <w:rPr>
          <w:rFonts w:ascii="Arial" w:eastAsia="Calibri" w:hAnsi="Arial" w:cs="Arial"/>
          <w:spacing w:val="-1"/>
          <w:sz w:val="17"/>
          <w:szCs w:val="17"/>
        </w:rPr>
        <w:t xml:space="preserve">En este apartado se informa la integración del </w:t>
      </w:r>
      <w:r>
        <w:rPr>
          <w:rFonts w:ascii="Arial" w:eastAsia="Calibri" w:hAnsi="Arial" w:cs="Arial"/>
          <w:spacing w:val="-1"/>
          <w:sz w:val="17"/>
          <w:szCs w:val="17"/>
        </w:rPr>
        <w:t xml:space="preserve">Inversiones Financieras a Largo Plazo </w:t>
      </w:r>
      <w:r w:rsidRPr="00785016">
        <w:rPr>
          <w:rFonts w:ascii="Arial" w:eastAsia="Calibri" w:hAnsi="Arial" w:cs="Arial"/>
          <w:spacing w:val="-1"/>
          <w:sz w:val="17"/>
          <w:szCs w:val="17"/>
        </w:rPr>
        <w:t>del Poder Ejecutivo del Estado de Querétaro:</w:t>
      </w:r>
    </w:p>
    <w:p w:rsidR="00785016" w:rsidRPr="00785016" w:rsidRDefault="00785016" w:rsidP="00785016">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85016" w:rsidRPr="002D70DA" w:rsidTr="008E6E1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5016" w:rsidRPr="002D70DA" w:rsidRDefault="00785016"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78501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5016" w:rsidRPr="00785016" w:rsidRDefault="00785016" w:rsidP="00785016">
            <w:pPr>
              <w:rPr>
                <w:rFonts w:ascii="Arial" w:hAnsi="Arial" w:cs="Arial"/>
                <w:sz w:val="17"/>
                <w:szCs w:val="17"/>
              </w:rPr>
            </w:pPr>
            <w:r w:rsidRPr="00785016">
              <w:rPr>
                <w:rFonts w:ascii="Arial" w:hAnsi="Arial" w:cs="Arial"/>
                <w:sz w:val="17"/>
                <w:szCs w:val="17"/>
              </w:rPr>
              <w:t>Fideicomisos, Mandatos y Contratos Análogos</w:t>
            </w:r>
          </w:p>
        </w:tc>
        <w:tc>
          <w:tcPr>
            <w:tcW w:w="2180" w:type="dxa"/>
            <w:tcBorders>
              <w:top w:val="single" w:sz="4" w:space="0" w:color="auto"/>
              <w:left w:val="nil"/>
              <w:bottom w:val="single" w:sz="4" w:space="0" w:color="auto"/>
              <w:right w:val="single" w:sz="4" w:space="0" w:color="auto"/>
            </w:tcBorders>
            <w:shd w:val="clear" w:color="auto" w:fill="auto"/>
          </w:tcPr>
          <w:p w:rsidR="00785016" w:rsidRPr="00785016" w:rsidRDefault="00785016" w:rsidP="00785016">
            <w:pPr>
              <w:jc w:val="right"/>
              <w:rPr>
                <w:rFonts w:ascii="Arial" w:hAnsi="Arial" w:cs="Arial"/>
                <w:sz w:val="17"/>
                <w:szCs w:val="17"/>
              </w:rPr>
            </w:pPr>
            <w:r w:rsidRPr="00785016">
              <w:rPr>
                <w:rFonts w:ascii="Arial" w:hAnsi="Arial" w:cs="Arial"/>
                <w:sz w:val="17"/>
                <w:szCs w:val="17"/>
              </w:rPr>
              <w:t xml:space="preserve">424,764,570 </w:t>
            </w:r>
          </w:p>
        </w:tc>
        <w:tc>
          <w:tcPr>
            <w:tcW w:w="2180" w:type="dxa"/>
            <w:tcBorders>
              <w:top w:val="single" w:sz="4" w:space="0" w:color="auto"/>
              <w:left w:val="nil"/>
              <w:bottom w:val="single" w:sz="4" w:space="0" w:color="auto"/>
              <w:right w:val="single" w:sz="4" w:space="0" w:color="auto"/>
            </w:tcBorders>
            <w:shd w:val="clear" w:color="auto" w:fill="auto"/>
          </w:tcPr>
          <w:p w:rsidR="00785016" w:rsidRPr="00785016" w:rsidRDefault="00785016" w:rsidP="00785016">
            <w:pPr>
              <w:jc w:val="right"/>
              <w:rPr>
                <w:rFonts w:ascii="Arial" w:hAnsi="Arial" w:cs="Arial"/>
                <w:sz w:val="17"/>
                <w:szCs w:val="17"/>
              </w:rPr>
            </w:pPr>
            <w:r w:rsidRPr="00785016">
              <w:rPr>
                <w:rFonts w:ascii="Arial" w:hAnsi="Arial" w:cs="Arial"/>
                <w:sz w:val="17"/>
                <w:szCs w:val="17"/>
              </w:rPr>
              <w:t xml:space="preserve">345,976,630 </w:t>
            </w:r>
          </w:p>
        </w:tc>
      </w:tr>
      <w:tr w:rsidR="0078501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85016" w:rsidRPr="00785016" w:rsidRDefault="00785016" w:rsidP="00785016">
            <w:pPr>
              <w:rPr>
                <w:rFonts w:ascii="Arial" w:hAnsi="Arial" w:cs="Arial"/>
                <w:sz w:val="17"/>
                <w:szCs w:val="17"/>
              </w:rPr>
            </w:pPr>
            <w:r w:rsidRPr="00785016">
              <w:rPr>
                <w:rFonts w:ascii="Arial" w:hAnsi="Arial" w:cs="Arial"/>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auto" w:fill="auto"/>
          </w:tcPr>
          <w:p w:rsidR="00785016" w:rsidRPr="00785016" w:rsidRDefault="00785016" w:rsidP="00785016">
            <w:pPr>
              <w:jc w:val="right"/>
              <w:rPr>
                <w:rFonts w:ascii="Arial" w:hAnsi="Arial" w:cs="Arial"/>
                <w:sz w:val="17"/>
                <w:szCs w:val="17"/>
              </w:rPr>
            </w:pPr>
            <w:r w:rsidRPr="00785016">
              <w:rPr>
                <w:rFonts w:ascii="Arial" w:hAnsi="Arial" w:cs="Arial"/>
                <w:sz w:val="17"/>
                <w:szCs w:val="17"/>
              </w:rPr>
              <w:t xml:space="preserve">307,928,051 </w:t>
            </w:r>
          </w:p>
        </w:tc>
        <w:tc>
          <w:tcPr>
            <w:tcW w:w="2180" w:type="dxa"/>
            <w:tcBorders>
              <w:top w:val="single" w:sz="4" w:space="0" w:color="auto"/>
              <w:left w:val="nil"/>
              <w:bottom w:val="single" w:sz="4" w:space="0" w:color="auto"/>
              <w:right w:val="single" w:sz="4" w:space="0" w:color="auto"/>
            </w:tcBorders>
            <w:shd w:val="clear" w:color="auto" w:fill="auto"/>
          </w:tcPr>
          <w:p w:rsidR="00785016" w:rsidRPr="00785016" w:rsidRDefault="00785016" w:rsidP="00785016">
            <w:pPr>
              <w:jc w:val="right"/>
              <w:rPr>
                <w:rFonts w:ascii="Arial" w:hAnsi="Arial" w:cs="Arial"/>
                <w:sz w:val="17"/>
                <w:szCs w:val="17"/>
              </w:rPr>
            </w:pPr>
            <w:r w:rsidRPr="00785016">
              <w:rPr>
                <w:rFonts w:ascii="Arial" w:hAnsi="Arial" w:cs="Arial"/>
                <w:sz w:val="17"/>
                <w:szCs w:val="17"/>
              </w:rPr>
              <w:t xml:space="preserve">195,928,051 </w:t>
            </w:r>
          </w:p>
        </w:tc>
      </w:tr>
      <w:tr w:rsidR="00785016" w:rsidRPr="002D70DA" w:rsidTr="001A0060">
        <w:trPr>
          <w:trHeight w:val="240"/>
          <w:jc w:val="center"/>
        </w:trPr>
        <w:tc>
          <w:tcPr>
            <w:tcW w:w="4900" w:type="dxa"/>
            <w:tcBorders>
              <w:top w:val="nil"/>
              <w:left w:val="nil"/>
              <w:bottom w:val="nil"/>
              <w:right w:val="single" w:sz="4" w:space="0" w:color="auto"/>
            </w:tcBorders>
            <w:shd w:val="clear" w:color="000000" w:fill="FFFFFF"/>
            <w:vAlign w:val="center"/>
            <w:hideMark/>
          </w:tcPr>
          <w:p w:rsidR="00785016" w:rsidRPr="002D70DA" w:rsidRDefault="00785016" w:rsidP="001A006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785016" w:rsidRPr="002D70DA" w:rsidRDefault="00785016" w:rsidP="001A0060">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785016">
              <w:rPr>
                <w:rFonts w:ascii="Arial" w:hAnsi="Arial" w:cs="Arial"/>
                <w:b/>
                <w:bCs/>
                <w:noProof/>
                <w:color w:val="000000"/>
                <w:sz w:val="17"/>
                <w:szCs w:val="17"/>
                <w14:numForm w14:val="lining"/>
              </w:rPr>
              <w:t xml:space="preserve">732,692,621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85016" w:rsidRPr="002D70DA" w:rsidRDefault="00785016" w:rsidP="001A0060">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785016">
              <w:rPr>
                <w:rFonts w:ascii="Arial" w:hAnsi="Arial" w:cs="Arial"/>
                <w:b/>
                <w:bCs/>
                <w:noProof/>
                <w:color w:val="000000"/>
                <w:sz w:val="17"/>
                <w:szCs w:val="17"/>
                <w14:numForm w14:val="lining"/>
              </w:rPr>
              <w:t xml:space="preserve">541,904,681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785016" w:rsidRDefault="00785016" w:rsidP="00785016">
      <w:pPr>
        <w:spacing w:before="13" w:line="250" w:lineRule="exact"/>
        <w:ind w:left="709"/>
        <w:jc w:val="both"/>
        <w:rPr>
          <w:rFonts w:ascii="Arial" w:eastAsia="Calibri" w:hAnsi="Arial" w:cs="Arial"/>
          <w:spacing w:val="-1"/>
          <w:sz w:val="17"/>
          <w:szCs w:val="17"/>
        </w:rPr>
      </w:pPr>
    </w:p>
    <w:p w:rsidR="00785016" w:rsidRDefault="00785016" w:rsidP="00785016">
      <w:pPr>
        <w:spacing w:before="13" w:line="250" w:lineRule="exact"/>
        <w:ind w:left="709"/>
        <w:jc w:val="both"/>
        <w:rPr>
          <w:rFonts w:ascii="Arial" w:eastAsia="Calibri" w:hAnsi="Arial" w:cs="Arial"/>
          <w:spacing w:val="-1"/>
          <w:sz w:val="17"/>
          <w:szCs w:val="17"/>
        </w:rPr>
      </w:pPr>
    </w:p>
    <w:p w:rsidR="008E1BD8" w:rsidRPr="002D70DA" w:rsidRDefault="008E1BD8" w:rsidP="00E856E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la </w:t>
      </w:r>
      <w:r w:rsidR="00465149">
        <w:rPr>
          <w:rFonts w:ascii="Arial" w:eastAsia="Calibri" w:hAnsi="Arial" w:cs="Arial"/>
          <w:spacing w:val="-1"/>
          <w:sz w:val="17"/>
          <w:szCs w:val="17"/>
        </w:rPr>
        <w:t xml:space="preserve">cuenta </w:t>
      </w:r>
      <w:r w:rsidR="00465149" w:rsidRPr="00465149">
        <w:rPr>
          <w:rFonts w:ascii="Arial" w:eastAsia="Calibri" w:hAnsi="Arial" w:cs="Arial"/>
          <w:spacing w:val="-1"/>
          <w:sz w:val="17"/>
          <w:szCs w:val="17"/>
        </w:rPr>
        <w:t>Fideicomisos, Mandatos y Contratos Análogos</w:t>
      </w:r>
      <w:r w:rsidRPr="002D70DA">
        <w:rPr>
          <w:rFonts w:ascii="Arial" w:eastAsia="Calibri" w:hAnsi="Arial" w:cs="Arial"/>
          <w:spacing w:val="-1"/>
          <w:sz w:val="17"/>
          <w:szCs w:val="17"/>
        </w:rPr>
        <w:t>, se informa de éstos</w:t>
      </w:r>
      <w:r w:rsidR="00465149">
        <w:rPr>
          <w:rFonts w:ascii="Arial" w:eastAsia="Calibri" w:hAnsi="Arial" w:cs="Arial"/>
          <w:spacing w:val="-1"/>
          <w:sz w:val="17"/>
          <w:szCs w:val="17"/>
        </w:rPr>
        <w:t xml:space="preserve"> el </w:t>
      </w:r>
      <w:r w:rsidRPr="002D70DA">
        <w:rPr>
          <w:rFonts w:ascii="Arial" w:eastAsia="Calibri" w:hAnsi="Arial" w:cs="Arial"/>
          <w:spacing w:val="-1"/>
          <w:sz w:val="17"/>
          <w:szCs w:val="17"/>
        </w:rPr>
        <w:t xml:space="preserve">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0" w:type="auto"/>
        <w:jc w:val="center"/>
        <w:tblCellMar>
          <w:left w:w="70" w:type="dxa"/>
          <w:right w:w="70" w:type="dxa"/>
        </w:tblCellMar>
        <w:tblLook w:val="04A0" w:firstRow="1" w:lastRow="0" w:firstColumn="1" w:lastColumn="0" w:noHBand="0" w:noVBand="1"/>
      </w:tblPr>
      <w:tblGrid>
        <w:gridCol w:w="8768"/>
        <w:gridCol w:w="1086"/>
      </w:tblGrid>
      <w:tr w:rsidR="00465149" w:rsidRPr="002D70DA" w:rsidTr="00EE5E39">
        <w:trPr>
          <w:trHeight w:val="386"/>
          <w:jc w:val="center"/>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65149" w:rsidRPr="002D70DA" w:rsidRDefault="00465149">
            <w:pPr>
              <w:jc w:val="center"/>
              <w:rPr>
                <w:rFonts w:ascii="Arial" w:hAnsi="Arial" w:cs="Arial"/>
                <w:b/>
                <w:bCs/>
                <w:color w:val="000000"/>
                <w:sz w:val="17"/>
                <w:szCs w:val="17"/>
              </w:rPr>
            </w:pPr>
            <w:r>
              <w:rPr>
                <w:rFonts w:ascii="Arial" w:hAnsi="Arial" w:cs="Arial"/>
                <w:b/>
                <w:bCs/>
                <w:color w:val="000000"/>
                <w:sz w:val="17"/>
                <w:szCs w:val="17"/>
              </w:rPr>
              <w:t>Fideicomiso</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65149" w:rsidRPr="002D70DA" w:rsidRDefault="0046514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465149" w:rsidRPr="002D70DA" w:rsidTr="00EE5E39">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 xml:space="preserve">Fondo metropolitano ciudad de </w:t>
            </w:r>
            <w:r>
              <w:rPr>
                <w:rFonts w:ascii="Arial" w:hAnsi="Arial" w:cs="Arial"/>
                <w:color w:val="000000"/>
                <w:sz w:val="17"/>
                <w:szCs w:val="17"/>
              </w:rPr>
              <w:t>Q</w:t>
            </w:r>
            <w:r w:rsidRPr="00CC182C">
              <w:rPr>
                <w:rFonts w:ascii="Arial" w:hAnsi="Arial" w:cs="Arial"/>
                <w:color w:val="000000"/>
                <w:sz w:val="17"/>
                <w:szCs w:val="17"/>
              </w:rPr>
              <w:t>uerétaro</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C65559" w:rsidRDefault="00465149" w:rsidP="00CC182C">
            <w:pPr>
              <w:jc w:val="right"/>
              <w:rPr>
                <w:rFonts w:ascii="Arial" w:hAnsi="Arial" w:cs="Arial"/>
                <w:bCs/>
                <w:color w:val="000000"/>
                <w:sz w:val="17"/>
                <w:szCs w:val="17"/>
              </w:rPr>
            </w:pPr>
            <w:r>
              <w:rPr>
                <w:rFonts w:ascii="Arial" w:hAnsi="Arial" w:cs="Arial"/>
                <w:bCs/>
                <w:color w:val="000000"/>
                <w:sz w:val="17"/>
                <w:szCs w:val="17"/>
              </w:rPr>
              <w:t>128,187,685</w:t>
            </w:r>
          </w:p>
        </w:tc>
      </w:tr>
      <w:tr w:rsidR="00465149" w:rsidRPr="002D70DA" w:rsidTr="00EE5E39">
        <w:trPr>
          <w:trHeight w:val="146"/>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Pr>
                <w:rFonts w:ascii="Arial" w:hAnsi="Arial" w:cs="Arial"/>
                <w:color w:val="000000"/>
                <w:sz w:val="17"/>
                <w:szCs w:val="17"/>
              </w:rPr>
              <w:t>F</w:t>
            </w:r>
            <w:r w:rsidRPr="00FD2298">
              <w:rPr>
                <w:rFonts w:ascii="Arial" w:hAnsi="Arial" w:cs="Arial"/>
                <w:color w:val="000000"/>
                <w:sz w:val="17"/>
                <w:szCs w:val="17"/>
              </w:rPr>
              <w:t>ideicomiso de apoyo para la implementación de la reforma al s</w:t>
            </w:r>
            <w:r>
              <w:rPr>
                <w:rFonts w:ascii="Arial" w:hAnsi="Arial" w:cs="Arial"/>
                <w:color w:val="000000"/>
                <w:sz w:val="17"/>
                <w:szCs w:val="17"/>
              </w:rPr>
              <w:t>istema de justicia penal en el E</w:t>
            </w:r>
            <w:r w:rsidRPr="00FD2298">
              <w:rPr>
                <w:rFonts w:ascii="Arial" w:hAnsi="Arial" w:cs="Arial"/>
                <w:color w:val="000000"/>
                <w:sz w:val="17"/>
                <w:szCs w:val="17"/>
              </w:rPr>
              <w:t>stado de Querétaro</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sidRPr="00FD2298">
              <w:rPr>
                <w:rFonts w:ascii="Arial" w:hAnsi="Arial" w:cs="Arial"/>
                <w:bCs/>
                <w:color w:val="000000"/>
                <w:sz w:val="17"/>
                <w:szCs w:val="17"/>
              </w:rPr>
              <w:t>40,283,79</w:t>
            </w:r>
            <w:r w:rsidR="00421938">
              <w:rPr>
                <w:rFonts w:ascii="Arial" w:hAnsi="Arial" w:cs="Arial"/>
                <w:bCs/>
                <w:color w:val="000000"/>
                <w:sz w:val="17"/>
                <w:szCs w:val="17"/>
              </w:rPr>
              <w:t>1</w:t>
            </w:r>
          </w:p>
        </w:tc>
      </w:tr>
      <w:tr w:rsidR="00465149" w:rsidRPr="002D70DA" w:rsidTr="00EE5E39">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Fideicomiso irrevocable de inversión, administración y garantía "FIRE2000"</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sidRPr="00FD2298">
              <w:rPr>
                <w:rFonts w:ascii="Arial" w:hAnsi="Arial" w:cs="Arial"/>
                <w:bCs/>
                <w:color w:val="000000"/>
                <w:sz w:val="17"/>
                <w:szCs w:val="17"/>
              </w:rPr>
              <w:t>1,044,917</w:t>
            </w:r>
          </w:p>
        </w:tc>
      </w:tr>
      <w:tr w:rsidR="00465149" w:rsidRPr="002D70DA" w:rsidTr="00EE5E39">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 xml:space="preserve">Fideicomiso fondo de diversificación productiva en la </w:t>
            </w:r>
            <w:r>
              <w:rPr>
                <w:rFonts w:ascii="Arial" w:hAnsi="Arial" w:cs="Arial"/>
                <w:color w:val="000000"/>
                <w:sz w:val="17"/>
                <w:szCs w:val="17"/>
              </w:rPr>
              <w:t>S</w:t>
            </w:r>
            <w:r w:rsidRPr="00CC182C">
              <w:rPr>
                <w:rFonts w:ascii="Arial" w:hAnsi="Arial" w:cs="Arial"/>
                <w:color w:val="000000"/>
                <w:sz w:val="17"/>
                <w:szCs w:val="17"/>
              </w:rPr>
              <w:t xml:space="preserve">ierra </w:t>
            </w:r>
            <w:r>
              <w:rPr>
                <w:rFonts w:ascii="Arial" w:hAnsi="Arial" w:cs="Arial"/>
                <w:color w:val="000000"/>
                <w:sz w:val="17"/>
                <w:szCs w:val="17"/>
              </w:rPr>
              <w:t>G</w:t>
            </w:r>
            <w:r w:rsidRPr="00CC182C">
              <w:rPr>
                <w:rFonts w:ascii="Arial" w:hAnsi="Arial" w:cs="Arial"/>
                <w:color w:val="000000"/>
                <w:sz w:val="17"/>
                <w:szCs w:val="17"/>
              </w:rPr>
              <w:t>orda</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sidRPr="00FD2298">
              <w:rPr>
                <w:rFonts w:ascii="Arial" w:hAnsi="Arial" w:cs="Arial"/>
                <w:bCs/>
                <w:color w:val="000000"/>
                <w:sz w:val="17"/>
                <w:szCs w:val="17"/>
              </w:rPr>
              <w:t>1,060,67</w:t>
            </w:r>
            <w:r w:rsidR="00421938">
              <w:rPr>
                <w:rFonts w:ascii="Arial" w:hAnsi="Arial" w:cs="Arial"/>
                <w:bCs/>
                <w:color w:val="000000"/>
                <w:sz w:val="17"/>
                <w:szCs w:val="17"/>
              </w:rPr>
              <w:t>3</w:t>
            </w:r>
          </w:p>
        </w:tc>
      </w:tr>
      <w:tr w:rsidR="00465149" w:rsidRPr="002D70DA" w:rsidTr="00EE5E39">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 xml:space="preserve">Fondo de garantía para las empresas de solidaridad del </w:t>
            </w:r>
            <w:r>
              <w:rPr>
                <w:rFonts w:ascii="Arial" w:hAnsi="Arial" w:cs="Arial"/>
                <w:color w:val="000000"/>
                <w:sz w:val="17"/>
                <w:szCs w:val="17"/>
              </w:rPr>
              <w:t>E</w:t>
            </w:r>
            <w:r w:rsidRPr="00CC182C">
              <w:rPr>
                <w:rFonts w:ascii="Arial" w:hAnsi="Arial" w:cs="Arial"/>
                <w:color w:val="000000"/>
                <w:sz w:val="17"/>
                <w:szCs w:val="17"/>
              </w:rPr>
              <w:t xml:space="preserve">stado de </w:t>
            </w:r>
            <w:r>
              <w:rPr>
                <w:rFonts w:ascii="Arial" w:hAnsi="Arial" w:cs="Arial"/>
                <w:color w:val="000000"/>
                <w:sz w:val="17"/>
                <w:szCs w:val="17"/>
              </w:rPr>
              <w:t>Q</w:t>
            </w:r>
            <w:r w:rsidRPr="00CC182C">
              <w:rPr>
                <w:rFonts w:ascii="Arial" w:hAnsi="Arial" w:cs="Arial"/>
                <w:color w:val="000000"/>
                <w:sz w:val="17"/>
                <w:szCs w:val="17"/>
              </w:rPr>
              <w:t>uerétaro (FOGAESEQ)</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sidRPr="00FD2298">
              <w:rPr>
                <w:rFonts w:ascii="Arial" w:hAnsi="Arial" w:cs="Arial"/>
                <w:bCs/>
                <w:color w:val="000000"/>
                <w:sz w:val="17"/>
                <w:szCs w:val="17"/>
              </w:rPr>
              <w:t>14,089,58</w:t>
            </w:r>
            <w:r w:rsidR="00421938">
              <w:rPr>
                <w:rFonts w:ascii="Arial" w:hAnsi="Arial" w:cs="Arial"/>
                <w:bCs/>
                <w:color w:val="000000"/>
                <w:sz w:val="17"/>
                <w:szCs w:val="17"/>
              </w:rPr>
              <w:t>6</w:t>
            </w:r>
          </w:p>
        </w:tc>
      </w:tr>
      <w:tr w:rsidR="00465149" w:rsidRPr="002D70DA" w:rsidTr="00EE5E39">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 xml:space="preserve">Fondo de fomento agropecuario del </w:t>
            </w:r>
            <w:r>
              <w:rPr>
                <w:rFonts w:ascii="Arial" w:hAnsi="Arial" w:cs="Arial"/>
                <w:color w:val="000000"/>
                <w:sz w:val="17"/>
                <w:szCs w:val="17"/>
              </w:rPr>
              <w:t>E</w:t>
            </w:r>
            <w:r w:rsidRPr="00CC182C">
              <w:rPr>
                <w:rFonts w:ascii="Arial" w:hAnsi="Arial" w:cs="Arial"/>
                <w:color w:val="000000"/>
                <w:sz w:val="17"/>
                <w:szCs w:val="17"/>
              </w:rPr>
              <w:t xml:space="preserve">stado de </w:t>
            </w:r>
            <w:r>
              <w:rPr>
                <w:rFonts w:ascii="Arial" w:hAnsi="Arial" w:cs="Arial"/>
                <w:color w:val="000000"/>
                <w:sz w:val="17"/>
                <w:szCs w:val="17"/>
              </w:rPr>
              <w:t>Q</w:t>
            </w:r>
            <w:r w:rsidRPr="00CC182C">
              <w:rPr>
                <w:rFonts w:ascii="Arial" w:hAnsi="Arial" w:cs="Arial"/>
                <w:color w:val="000000"/>
                <w:sz w:val="17"/>
                <w:szCs w:val="17"/>
              </w:rPr>
              <w:t>uerétaro (FOFAE)</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sidRPr="00FD2298">
              <w:rPr>
                <w:rFonts w:ascii="Arial" w:hAnsi="Arial" w:cs="Arial"/>
                <w:bCs/>
                <w:color w:val="000000"/>
                <w:sz w:val="17"/>
                <w:szCs w:val="17"/>
              </w:rPr>
              <w:t>212,582,22</w:t>
            </w:r>
            <w:r w:rsidR="00421938">
              <w:rPr>
                <w:rFonts w:ascii="Arial" w:hAnsi="Arial" w:cs="Arial"/>
                <w:bCs/>
                <w:color w:val="000000"/>
                <w:sz w:val="17"/>
                <w:szCs w:val="17"/>
              </w:rPr>
              <w:t>1</w:t>
            </w:r>
          </w:p>
        </w:tc>
      </w:tr>
      <w:tr w:rsidR="00465149" w:rsidRPr="002D70DA" w:rsidTr="00EE5E39">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Pronabes</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sidRPr="00FD2298">
              <w:rPr>
                <w:rFonts w:ascii="Arial" w:hAnsi="Arial" w:cs="Arial"/>
                <w:bCs/>
                <w:color w:val="000000"/>
                <w:sz w:val="17"/>
                <w:szCs w:val="17"/>
              </w:rPr>
              <w:t>11,791,809</w:t>
            </w:r>
          </w:p>
        </w:tc>
      </w:tr>
      <w:tr w:rsidR="00465149" w:rsidRPr="002D70DA" w:rsidTr="00EE5E39">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 xml:space="preserve">Fideicomiso de administración e inversión 244/2 de la </w:t>
            </w:r>
            <w:r>
              <w:rPr>
                <w:rFonts w:ascii="Arial" w:hAnsi="Arial" w:cs="Arial"/>
                <w:color w:val="000000"/>
                <w:sz w:val="17"/>
                <w:szCs w:val="17"/>
              </w:rPr>
              <w:t>F</w:t>
            </w:r>
            <w:r w:rsidRPr="00CC182C">
              <w:rPr>
                <w:rFonts w:ascii="Arial" w:hAnsi="Arial" w:cs="Arial"/>
                <w:color w:val="000000"/>
                <w:sz w:val="17"/>
                <w:szCs w:val="17"/>
              </w:rPr>
              <w:t xml:space="preserve">ilarmónica de </w:t>
            </w:r>
            <w:r>
              <w:rPr>
                <w:rFonts w:ascii="Arial" w:hAnsi="Arial" w:cs="Arial"/>
                <w:color w:val="000000"/>
                <w:sz w:val="17"/>
                <w:szCs w:val="17"/>
              </w:rPr>
              <w:t>Q</w:t>
            </w:r>
            <w:r w:rsidRPr="00CC182C">
              <w:rPr>
                <w:rFonts w:ascii="Arial" w:hAnsi="Arial" w:cs="Arial"/>
                <w:color w:val="000000"/>
                <w:sz w:val="17"/>
                <w:szCs w:val="17"/>
              </w:rPr>
              <w:t>uerétaro</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Pr>
                <w:rFonts w:ascii="Arial" w:hAnsi="Arial" w:cs="Arial"/>
                <w:bCs/>
                <w:color w:val="000000"/>
                <w:sz w:val="17"/>
                <w:szCs w:val="17"/>
              </w:rPr>
              <w:t>2,09</w:t>
            </w:r>
            <w:r w:rsidR="00421938">
              <w:rPr>
                <w:rFonts w:ascii="Arial" w:hAnsi="Arial" w:cs="Arial"/>
                <w:bCs/>
                <w:color w:val="000000"/>
                <w:sz w:val="17"/>
                <w:szCs w:val="17"/>
              </w:rPr>
              <w:t>0</w:t>
            </w:r>
          </w:p>
        </w:tc>
      </w:tr>
      <w:tr w:rsidR="00465149" w:rsidRPr="002D70DA" w:rsidTr="00EE5E39">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Fideicomiso para la</w:t>
            </w:r>
            <w:r>
              <w:rPr>
                <w:rFonts w:ascii="Arial" w:hAnsi="Arial" w:cs="Arial"/>
                <w:color w:val="000000"/>
                <w:sz w:val="17"/>
                <w:szCs w:val="17"/>
              </w:rPr>
              <w:t xml:space="preserve"> </w:t>
            </w:r>
            <w:r w:rsidRPr="00CC182C">
              <w:rPr>
                <w:rFonts w:ascii="Arial" w:hAnsi="Arial" w:cs="Arial"/>
                <w:color w:val="000000"/>
                <w:sz w:val="17"/>
                <w:szCs w:val="17"/>
              </w:rPr>
              <w:t xml:space="preserve">vivienda del magisterio de </w:t>
            </w:r>
            <w:r>
              <w:rPr>
                <w:rFonts w:ascii="Arial" w:hAnsi="Arial" w:cs="Arial"/>
                <w:color w:val="000000"/>
                <w:sz w:val="17"/>
                <w:szCs w:val="17"/>
              </w:rPr>
              <w:t>Q</w:t>
            </w:r>
            <w:r w:rsidRPr="00CC182C">
              <w:rPr>
                <w:rFonts w:ascii="Arial" w:hAnsi="Arial" w:cs="Arial"/>
                <w:color w:val="000000"/>
                <w:sz w:val="17"/>
                <w:szCs w:val="17"/>
              </w:rPr>
              <w:t>uerétaro</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sidRPr="00FD2298">
              <w:rPr>
                <w:rFonts w:ascii="Arial" w:hAnsi="Arial" w:cs="Arial"/>
                <w:bCs/>
                <w:color w:val="000000"/>
                <w:sz w:val="17"/>
                <w:szCs w:val="17"/>
              </w:rPr>
              <w:t>15,713,343</w:t>
            </w:r>
          </w:p>
        </w:tc>
      </w:tr>
      <w:tr w:rsidR="00465149" w:rsidRPr="002D70DA" w:rsidTr="00EE5E39">
        <w:trPr>
          <w:trHeight w:val="19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65149" w:rsidRPr="00CC182C" w:rsidRDefault="00465149" w:rsidP="00CC182C">
            <w:pPr>
              <w:rPr>
                <w:rFonts w:ascii="Arial" w:hAnsi="Arial" w:cs="Arial"/>
                <w:color w:val="000000"/>
                <w:sz w:val="17"/>
                <w:szCs w:val="17"/>
              </w:rPr>
            </w:pPr>
            <w:r w:rsidRPr="00CC182C">
              <w:rPr>
                <w:rFonts w:ascii="Arial" w:hAnsi="Arial" w:cs="Arial"/>
                <w:color w:val="000000"/>
                <w:sz w:val="17"/>
                <w:szCs w:val="17"/>
              </w:rPr>
              <w:t xml:space="preserve">Fideicomiso promotor de turismo en el </w:t>
            </w:r>
            <w:r>
              <w:rPr>
                <w:rFonts w:ascii="Arial" w:hAnsi="Arial" w:cs="Arial"/>
                <w:color w:val="000000"/>
                <w:sz w:val="17"/>
                <w:szCs w:val="17"/>
              </w:rPr>
              <w:t>E</w:t>
            </w:r>
            <w:r w:rsidRPr="00CC182C">
              <w:rPr>
                <w:rFonts w:ascii="Arial" w:hAnsi="Arial" w:cs="Arial"/>
                <w:color w:val="000000"/>
                <w:sz w:val="17"/>
                <w:szCs w:val="17"/>
              </w:rPr>
              <w:t xml:space="preserve">stado de </w:t>
            </w:r>
            <w:r>
              <w:rPr>
                <w:rFonts w:ascii="Arial" w:hAnsi="Arial" w:cs="Arial"/>
                <w:color w:val="000000"/>
                <w:sz w:val="17"/>
                <w:szCs w:val="17"/>
              </w:rPr>
              <w:t>Q</w:t>
            </w:r>
            <w:r w:rsidRPr="00CC182C">
              <w:rPr>
                <w:rFonts w:ascii="Arial" w:hAnsi="Arial" w:cs="Arial"/>
                <w:color w:val="000000"/>
                <w:sz w:val="17"/>
                <w:szCs w:val="17"/>
              </w:rPr>
              <w:t>uerétaro "FIPROTUR"</w:t>
            </w:r>
          </w:p>
        </w:tc>
        <w:tc>
          <w:tcPr>
            <w:tcW w:w="0" w:type="auto"/>
            <w:tcBorders>
              <w:top w:val="single" w:sz="4" w:space="0" w:color="auto"/>
              <w:left w:val="nil"/>
              <w:bottom w:val="single" w:sz="4" w:space="0" w:color="auto"/>
              <w:right w:val="single" w:sz="4" w:space="0" w:color="auto"/>
            </w:tcBorders>
            <w:shd w:val="clear" w:color="auto" w:fill="auto"/>
            <w:vAlign w:val="center"/>
          </w:tcPr>
          <w:p w:rsidR="00465149" w:rsidRPr="00FD2298" w:rsidRDefault="00465149" w:rsidP="00CC182C">
            <w:pPr>
              <w:jc w:val="right"/>
              <w:rPr>
                <w:rFonts w:ascii="Arial" w:hAnsi="Arial" w:cs="Arial"/>
                <w:bCs/>
                <w:color w:val="000000"/>
                <w:sz w:val="17"/>
                <w:szCs w:val="17"/>
              </w:rPr>
            </w:pPr>
            <w:r>
              <w:rPr>
                <w:rFonts w:ascii="Arial" w:hAnsi="Arial" w:cs="Arial"/>
                <w:bCs/>
                <w:color w:val="000000"/>
                <w:sz w:val="17"/>
                <w:szCs w:val="17"/>
              </w:rPr>
              <w:t>8,45</w:t>
            </w:r>
            <w:r w:rsidR="00421938">
              <w:rPr>
                <w:rFonts w:ascii="Arial" w:hAnsi="Arial" w:cs="Arial"/>
                <w:bCs/>
                <w:color w:val="000000"/>
                <w:sz w:val="17"/>
                <w:szCs w:val="17"/>
              </w:rPr>
              <w:t>7</w:t>
            </w:r>
          </w:p>
        </w:tc>
      </w:tr>
      <w:tr w:rsidR="00465149" w:rsidRPr="002D70DA" w:rsidTr="00EE5E39">
        <w:trPr>
          <w:trHeight w:val="240"/>
          <w:jc w:val="center"/>
        </w:trPr>
        <w:tc>
          <w:tcPr>
            <w:tcW w:w="0" w:type="auto"/>
            <w:tcBorders>
              <w:top w:val="nil"/>
              <w:left w:val="nil"/>
              <w:bottom w:val="nil"/>
              <w:right w:val="nil"/>
            </w:tcBorders>
            <w:shd w:val="clear" w:color="000000" w:fill="FFFFFF"/>
            <w:vAlign w:val="center"/>
            <w:hideMark/>
          </w:tcPr>
          <w:p w:rsidR="00465149" w:rsidRPr="007A4380" w:rsidRDefault="007A4380" w:rsidP="008E1BD8">
            <w:pPr>
              <w:jc w:val="center"/>
              <w:rPr>
                <w:rFonts w:ascii="Arial" w:hAnsi="Arial" w:cs="Arial"/>
                <w:b/>
                <w:color w:val="000000"/>
                <w:sz w:val="17"/>
                <w:szCs w:val="17"/>
              </w:rPr>
            </w:pPr>
            <w:r w:rsidRPr="007A4380">
              <w:rPr>
                <w:rFonts w:ascii="Arial" w:hAnsi="Arial" w:cs="Arial"/>
                <w:b/>
                <w:color w:val="000000"/>
                <w:sz w:val="17"/>
                <w:szCs w:val="17"/>
              </w:rPr>
              <w:t>Total</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465149" w:rsidRPr="002D70DA" w:rsidRDefault="00421938" w:rsidP="008E1BD8">
            <w:pPr>
              <w:jc w:val="right"/>
              <w:rPr>
                <w:rFonts w:ascii="Arial" w:hAnsi="Arial" w:cs="Arial"/>
                <w:b/>
                <w:bCs/>
                <w:color w:val="000000"/>
                <w:sz w:val="17"/>
                <w:szCs w:val="17"/>
              </w:rPr>
            </w:pPr>
            <w:r w:rsidRPr="00421938">
              <w:rPr>
                <w:rFonts w:ascii="Arial" w:hAnsi="Arial" w:cs="Arial"/>
                <w:b/>
                <w:bCs/>
                <w:color w:val="000000"/>
                <w:sz w:val="17"/>
                <w:szCs w:val="17"/>
                <w14:numForm w14:val="lining"/>
              </w:rPr>
              <w:t>424,764,570</w:t>
            </w:r>
          </w:p>
        </w:tc>
      </w:tr>
    </w:tbl>
    <w:p w:rsidR="00465149" w:rsidRPr="002D70DA" w:rsidRDefault="00465149" w:rsidP="006335BE">
      <w:pPr>
        <w:spacing w:before="80" w:line="250" w:lineRule="exact"/>
        <w:ind w:left="709"/>
        <w:jc w:val="both"/>
        <w:rPr>
          <w:rFonts w:ascii="Arial" w:eastAsia="Calibri" w:hAnsi="Arial" w:cs="Arial"/>
          <w:spacing w:val="-1"/>
          <w:sz w:val="17"/>
          <w:szCs w:val="17"/>
        </w:rPr>
      </w:pPr>
    </w:p>
    <w:p w:rsidR="008E1BD8" w:rsidRPr="002D70DA" w:rsidRDefault="008E1BD8" w:rsidP="00E856E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1D2914">
        <w:rPr>
          <w:rFonts w:ascii="Arial" w:eastAsia="Calibri" w:hAnsi="Arial" w:cs="Arial"/>
          <w:spacing w:val="-1"/>
          <w:sz w:val="17"/>
          <w:szCs w:val="17"/>
        </w:rPr>
        <w:t>l</w:t>
      </w:r>
      <w:r w:rsidR="007A4380">
        <w:rPr>
          <w:rFonts w:ascii="Arial" w:eastAsia="Calibri" w:hAnsi="Arial" w:cs="Arial"/>
          <w:spacing w:val="-1"/>
          <w:sz w:val="17"/>
          <w:szCs w:val="17"/>
        </w:rPr>
        <w:t xml:space="preserve">a integración del saldo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w:t>
      </w:r>
      <w:r w:rsidR="007209AF">
        <w:rPr>
          <w:rFonts w:ascii="Arial" w:eastAsia="Calibri" w:hAnsi="Arial" w:cs="Arial"/>
          <w:spacing w:val="-1"/>
          <w:sz w:val="17"/>
          <w:szCs w:val="17"/>
        </w:rPr>
        <w:t xml:space="preserve"> cuenta P</w:t>
      </w:r>
      <w:r w:rsidRPr="002D70DA">
        <w:rPr>
          <w:rFonts w:ascii="Arial" w:eastAsia="Calibri" w:hAnsi="Arial" w:cs="Arial"/>
          <w:spacing w:val="-1"/>
          <w:sz w:val="17"/>
          <w:szCs w:val="17"/>
        </w:rPr>
        <w:t xml:space="preserve">articipaciones y </w:t>
      </w:r>
      <w:r w:rsidR="007209AF">
        <w:rPr>
          <w:rFonts w:ascii="Arial" w:eastAsia="Calibri" w:hAnsi="Arial" w:cs="Arial"/>
          <w:spacing w:val="-1"/>
          <w:sz w:val="17"/>
          <w:szCs w:val="17"/>
        </w:rPr>
        <w:t>A</w:t>
      </w:r>
      <w:r w:rsidRPr="002D70DA">
        <w:rPr>
          <w:rFonts w:ascii="Arial" w:eastAsia="Calibri" w:hAnsi="Arial" w:cs="Arial"/>
          <w:spacing w:val="-1"/>
          <w:sz w:val="17"/>
          <w:szCs w:val="17"/>
        </w:rPr>
        <w:t xml:space="preserve">portaciones de </w:t>
      </w:r>
      <w:r w:rsidR="007209AF">
        <w:rPr>
          <w:rFonts w:ascii="Arial" w:eastAsia="Calibri" w:hAnsi="Arial" w:cs="Arial"/>
          <w:spacing w:val="-1"/>
          <w:sz w:val="17"/>
          <w:szCs w:val="17"/>
        </w:rPr>
        <w:t>C</w:t>
      </w:r>
      <w:r w:rsidRPr="002D70DA">
        <w:rPr>
          <w:rFonts w:ascii="Arial" w:eastAsia="Calibri" w:hAnsi="Arial" w:cs="Arial"/>
          <w:spacing w:val="-1"/>
          <w:sz w:val="17"/>
          <w:szCs w:val="17"/>
        </w:rPr>
        <w:t>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3B57E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E1BD8" w:rsidRPr="002D70DA" w:rsidRDefault="007A438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E1BD8" w:rsidRPr="002D70DA" w:rsidRDefault="007A4380">
            <w:pPr>
              <w:jc w:val="center"/>
              <w:rPr>
                <w:rFonts w:ascii="Arial" w:hAnsi="Arial" w:cs="Arial"/>
                <w:b/>
                <w:bCs/>
                <w:color w:val="000000"/>
                <w:sz w:val="17"/>
                <w:szCs w:val="17"/>
              </w:rPr>
            </w:pPr>
            <w:r>
              <w:rPr>
                <w:rFonts w:ascii="Arial" w:hAnsi="Arial" w:cs="Arial"/>
                <w:b/>
                <w:bCs/>
                <w:color w:val="000000"/>
                <w:sz w:val="17"/>
                <w:szCs w:val="17"/>
              </w:rPr>
              <w:t>Monto</w:t>
            </w:r>
          </w:p>
        </w:tc>
      </w:tr>
      <w:tr w:rsidR="007A4380" w:rsidRPr="002D70DA" w:rsidTr="007A4380">
        <w:trPr>
          <w:trHeight w:val="133"/>
          <w:jc w:val="center"/>
        </w:trPr>
        <w:tc>
          <w:tcPr>
            <w:tcW w:w="4900" w:type="dxa"/>
            <w:tcBorders>
              <w:top w:val="nil"/>
              <w:left w:val="single" w:sz="4" w:space="0" w:color="auto"/>
              <w:bottom w:val="single" w:sz="4" w:space="0" w:color="auto"/>
              <w:right w:val="single" w:sz="4" w:space="0" w:color="auto"/>
            </w:tcBorders>
            <w:shd w:val="clear" w:color="auto" w:fill="auto"/>
            <w:hideMark/>
          </w:tcPr>
          <w:p w:rsidR="007A4380" w:rsidRPr="007A4380" w:rsidRDefault="007A4380" w:rsidP="007A4380">
            <w:pPr>
              <w:rPr>
                <w:rFonts w:ascii="Arial" w:hAnsi="Arial" w:cs="Arial"/>
                <w:sz w:val="17"/>
                <w:szCs w:val="17"/>
              </w:rPr>
            </w:pPr>
            <w:r w:rsidRPr="007A4380">
              <w:rPr>
                <w:rFonts w:ascii="Arial" w:hAnsi="Arial" w:cs="Arial"/>
                <w:sz w:val="17"/>
                <w:szCs w:val="17"/>
              </w:rPr>
              <w:t>Centro Sur, S.A. de C.V.</w:t>
            </w:r>
          </w:p>
        </w:tc>
        <w:tc>
          <w:tcPr>
            <w:tcW w:w="2180" w:type="dxa"/>
            <w:tcBorders>
              <w:top w:val="nil"/>
              <w:left w:val="nil"/>
              <w:bottom w:val="single" w:sz="4" w:space="0" w:color="auto"/>
              <w:right w:val="single" w:sz="4" w:space="0" w:color="auto"/>
            </w:tcBorders>
            <w:shd w:val="clear" w:color="auto" w:fill="auto"/>
            <w:hideMark/>
          </w:tcPr>
          <w:p w:rsidR="007A4380" w:rsidRPr="007A4380" w:rsidRDefault="007A4380" w:rsidP="007A4380">
            <w:pPr>
              <w:jc w:val="right"/>
              <w:rPr>
                <w:rFonts w:ascii="Arial" w:hAnsi="Arial" w:cs="Arial"/>
                <w:sz w:val="17"/>
                <w:szCs w:val="17"/>
              </w:rPr>
            </w:pPr>
            <w:r w:rsidRPr="007A4380">
              <w:rPr>
                <w:rFonts w:ascii="Arial" w:hAnsi="Arial" w:cs="Arial"/>
                <w:sz w:val="17"/>
                <w:szCs w:val="17"/>
              </w:rPr>
              <w:t>69,179,750</w:t>
            </w:r>
          </w:p>
        </w:tc>
      </w:tr>
      <w:tr w:rsidR="007A4380" w:rsidRPr="002D70DA" w:rsidTr="007A4380">
        <w:trPr>
          <w:trHeight w:val="207"/>
          <w:jc w:val="center"/>
        </w:trPr>
        <w:tc>
          <w:tcPr>
            <w:tcW w:w="4900" w:type="dxa"/>
            <w:tcBorders>
              <w:top w:val="nil"/>
              <w:left w:val="single" w:sz="4" w:space="0" w:color="auto"/>
              <w:bottom w:val="single" w:sz="4" w:space="0" w:color="auto"/>
              <w:right w:val="single" w:sz="4" w:space="0" w:color="auto"/>
            </w:tcBorders>
            <w:shd w:val="clear" w:color="auto" w:fill="auto"/>
            <w:hideMark/>
          </w:tcPr>
          <w:p w:rsidR="007A4380" w:rsidRPr="007A4380" w:rsidRDefault="007A4380" w:rsidP="007A4380">
            <w:pPr>
              <w:rPr>
                <w:rFonts w:ascii="Arial" w:hAnsi="Arial" w:cs="Arial"/>
                <w:sz w:val="17"/>
                <w:szCs w:val="17"/>
              </w:rPr>
            </w:pPr>
            <w:r w:rsidRPr="007A4380">
              <w:rPr>
                <w:rFonts w:ascii="Arial" w:hAnsi="Arial" w:cs="Arial"/>
                <w:sz w:val="17"/>
                <w:szCs w:val="17"/>
              </w:rPr>
              <w:t>Aeropuerto Intercontinental de Querétaro, S.A. de C.V.</w:t>
            </w:r>
          </w:p>
        </w:tc>
        <w:tc>
          <w:tcPr>
            <w:tcW w:w="2180" w:type="dxa"/>
            <w:tcBorders>
              <w:top w:val="nil"/>
              <w:left w:val="nil"/>
              <w:bottom w:val="single" w:sz="4" w:space="0" w:color="auto"/>
              <w:right w:val="single" w:sz="4" w:space="0" w:color="auto"/>
            </w:tcBorders>
            <w:shd w:val="clear" w:color="auto" w:fill="auto"/>
            <w:hideMark/>
          </w:tcPr>
          <w:p w:rsidR="007A4380" w:rsidRPr="007A4380" w:rsidRDefault="007A4380" w:rsidP="007A4380">
            <w:pPr>
              <w:jc w:val="right"/>
              <w:rPr>
                <w:rFonts w:ascii="Arial" w:hAnsi="Arial" w:cs="Arial"/>
                <w:sz w:val="17"/>
                <w:szCs w:val="17"/>
              </w:rPr>
            </w:pPr>
            <w:r w:rsidRPr="007A4380">
              <w:rPr>
                <w:rFonts w:ascii="Arial" w:hAnsi="Arial" w:cs="Arial"/>
                <w:sz w:val="17"/>
                <w:szCs w:val="17"/>
              </w:rPr>
              <w:t>126,748,301</w:t>
            </w:r>
          </w:p>
        </w:tc>
      </w:tr>
      <w:tr w:rsidR="007A4380" w:rsidRPr="002D70DA" w:rsidTr="007A4380">
        <w:trPr>
          <w:trHeight w:val="139"/>
          <w:jc w:val="center"/>
        </w:trPr>
        <w:tc>
          <w:tcPr>
            <w:tcW w:w="4900" w:type="dxa"/>
            <w:tcBorders>
              <w:top w:val="nil"/>
              <w:left w:val="single" w:sz="4" w:space="0" w:color="auto"/>
              <w:bottom w:val="single" w:sz="4" w:space="0" w:color="auto"/>
              <w:right w:val="single" w:sz="4" w:space="0" w:color="auto"/>
            </w:tcBorders>
            <w:shd w:val="clear" w:color="auto" w:fill="auto"/>
            <w:hideMark/>
          </w:tcPr>
          <w:p w:rsidR="007A4380" w:rsidRPr="007A4380" w:rsidRDefault="007A4380" w:rsidP="007A4380">
            <w:pPr>
              <w:rPr>
                <w:rFonts w:ascii="Arial" w:hAnsi="Arial" w:cs="Arial"/>
                <w:sz w:val="17"/>
                <w:szCs w:val="17"/>
              </w:rPr>
            </w:pPr>
            <w:r w:rsidRPr="007A4380">
              <w:rPr>
                <w:rFonts w:ascii="Arial" w:hAnsi="Arial" w:cs="Arial"/>
                <w:sz w:val="17"/>
                <w:szCs w:val="17"/>
              </w:rPr>
              <w:t>Comisión Estatal de Infraestructura</w:t>
            </w:r>
          </w:p>
        </w:tc>
        <w:tc>
          <w:tcPr>
            <w:tcW w:w="2180" w:type="dxa"/>
            <w:tcBorders>
              <w:top w:val="nil"/>
              <w:left w:val="nil"/>
              <w:bottom w:val="single" w:sz="4" w:space="0" w:color="auto"/>
              <w:right w:val="single" w:sz="4" w:space="0" w:color="auto"/>
            </w:tcBorders>
            <w:shd w:val="clear" w:color="auto" w:fill="auto"/>
            <w:hideMark/>
          </w:tcPr>
          <w:p w:rsidR="007A4380" w:rsidRPr="007A4380" w:rsidRDefault="007A4380" w:rsidP="007A4380">
            <w:pPr>
              <w:jc w:val="right"/>
              <w:rPr>
                <w:rFonts w:ascii="Arial" w:hAnsi="Arial" w:cs="Arial"/>
                <w:sz w:val="17"/>
                <w:szCs w:val="17"/>
              </w:rPr>
            </w:pPr>
            <w:r w:rsidRPr="007A4380">
              <w:rPr>
                <w:rFonts w:ascii="Arial" w:hAnsi="Arial" w:cs="Arial"/>
                <w:sz w:val="17"/>
                <w:szCs w:val="17"/>
              </w:rPr>
              <w:t>112,000,000</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7A4380"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7A4380" w:rsidP="008E1BD8">
            <w:pPr>
              <w:jc w:val="right"/>
              <w:rPr>
                <w:rFonts w:ascii="Arial" w:hAnsi="Arial" w:cs="Arial"/>
                <w:b/>
                <w:bCs/>
                <w:color w:val="000000"/>
                <w:sz w:val="17"/>
                <w:szCs w:val="17"/>
              </w:rPr>
            </w:pPr>
            <w:r w:rsidRPr="007A4380">
              <w:rPr>
                <w:rFonts w:ascii="Arial" w:hAnsi="Arial" w:cs="Arial"/>
                <w:b/>
                <w:bCs/>
                <w:color w:val="000000"/>
                <w:sz w:val="17"/>
                <w:szCs w:val="17"/>
                <w14:numForm w14:val="lining"/>
              </w:rPr>
              <w:t>307,928,051</w:t>
            </w:r>
          </w:p>
        </w:tc>
      </w:tr>
    </w:tbl>
    <w:p w:rsidR="008E1BD8" w:rsidRDefault="008E1BD8" w:rsidP="006335BE">
      <w:pPr>
        <w:spacing w:before="80" w:line="250" w:lineRule="exact"/>
        <w:ind w:left="709"/>
        <w:jc w:val="both"/>
        <w:rPr>
          <w:rFonts w:ascii="Arial" w:eastAsia="Calibri" w:hAnsi="Arial" w:cs="Arial"/>
          <w:spacing w:val="-1"/>
          <w:sz w:val="17"/>
          <w:szCs w:val="17"/>
        </w:rPr>
      </w:pPr>
    </w:p>
    <w:p w:rsidR="00DC02C0" w:rsidRDefault="00DC02C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Relevante hacer mención </w:t>
      </w:r>
      <w:r w:rsidR="006B1D2C">
        <w:rPr>
          <w:rFonts w:ascii="Arial" w:eastAsia="Calibri" w:hAnsi="Arial" w:cs="Arial"/>
          <w:spacing w:val="-1"/>
          <w:sz w:val="17"/>
          <w:szCs w:val="17"/>
        </w:rPr>
        <w:t>que en el saldo de la cuenta que se informa no se incorpora aún el monto</w:t>
      </w:r>
      <w:r w:rsidR="00506D51">
        <w:rPr>
          <w:rFonts w:ascii="Arial" w:eastAsia="Calibri" w:hAnsi="Arial" w:cs="Arial"/>
          <w:spacing w:val="-1"/>
          <w:sz w:val="17"/>
          <w:szCs w:val="17"/>
        </w:rPr>
        <w:t xml:space="preserve"> actualizado</w:t>
      </w:r>
      <w:r w:rsidR="006B1D2C">
        <w:rPr>
          <w:rFonts w:ascii="Arial" w:eastAsia="Calibri" w:hAnsi="Arial" w:cs="Arial"/>
          <w:spacing w:val="-1"/>
          <w:sz w:val="17"/>
          <w:szCs w:val="17"/>
        </w:rPr>
        <w:t xml:space="preserve"> de la participación que tenga e</w:t>
      </w:r>
      <w:r>
        <w:rPr>
          <w:rFonts w:ascii="Arial" w:eastAsia="Calibri" w:hAnsi="Arial" w:cs="Arial"/>
          <w:spacing w:val="-1"/>
          <w:sz w:val="17"/>
          <w:szCs w:val="17"/>
        </w:rPr>
        <w:t>l Poder Ejecutivo del Estado de Querétaro</w:t>
      </w:r>
      <w:r w:rsidR="007A0450">
        <w:rPr>
          <w:rFonts w:ascii="Arial" w:eastAsia="Calibri" w:hAnsi="Arial" w:cs="Arial"/>
          <w:spacing w:val="-1"/>
          <w:sz w:val="17"/>
          <w:szCs w:val="17"/>
        </w:rPr>
        <w:t xml:space="preserve"> </w:t>
      </w:r>
      <w:r w:rsidR="006B1D2C">
        <w:rPr>
          <w:rFonts w:ascii="Arial" w:eastAsia="Calibri" w:hAnsi="Arial" w:cs="Arial"/>
          <w:spacing w:val="-1"/>
          <w:sz w:val="17"/>
          <w:szCs w:val="17"/>
        </w:rPr>
        <w:t xml:space="preserve">en el </w:t>
      </w:r>
      <w:r w:rsidR="007A0450">
        <w:rPr>
          <w:rFonts w:ascii="Arial" w:eastAsia="Calibri" w:hAnsi="Arial" w:cs="Arial"/>
          <w:spacing w:val="-1"/>
          <w:sz w:val="17"/>
          <w:szCs w:val="17"/>
        </w:rPr>
        <w:t xml:space="preserve">patrimonio o capital de las </w:t>
      </w:r>
      <w:r w:rsidR="006B1D2C">
        <w:rPr>
          <w:rFonts w:ascii="Arial" w:eastAsia="Calibri" w:hAnsi="Arial" w:cs="Arial"/>
          <w:spacing w:val="-1"/>
          <w:sz w:val="17"/>
          <w:szCs w:val="17"/>
        </w:rPr>
        <w:t>entidades paraestatales, toda vez que se encuentra</w:t>
      </w:r>
      <w:r w:rsidR="003B57E5">
        <w:rPr>
          <w:rFonts w:ascii="Arial" w:eastAsia="Calibri" w:hAnsi="Arial" w:cs="Arial"/>
          <w:spacing w:val="-1"/>
          <w:sz w:val="17"/>
          <w:szCs w:val="17"/>
        </w:rPr>
        <w:t>n</w:t>
      </w:r>
      <w:r w:rsidR="006B1D2C">
        <w:rPr>
          <w:rFonts w:ascii="Arial" w:eastAsia="Calibri" w:hAnsi="Arial" w:cs="Arial"/>
          <w:spacing w:val="-1"/>
          <w:sz w:val="17"/>
          <w:szCs w:val="17"/>
        </w:rPr>
        <w:t xml:space="preserve"> en análisis </w:t>
      </w:r>
      <w:r w:rsidR="003B57E5">
        <w:rPr>
          <w:rFonts w:ascii="Arial" w:eastAsia="Calibri" w:hAnsi="Arial" w:cs="Arial"/>
          <w:spacing w:val="-1"/>
          <w:sz w:val="17"/>
          <w:szCs w:val="17"/>
        </w:rPr>
        <w:t>los dictámenes de las auditorías externas.</w:t>
      </w:r>
    </w:p>
    <w:p w:rsidR="007A5CAF" w:rsidRDefault="007A5CAF" w:rsidP="006335BE">
      <w:pPr>
        <w:spacing w:before="80" w:line="250" w:lineRule="exact"/>
        <w:ind w:left="709"/>
        <w:jc w:val="both"/>
        <w:rPr>
          <w:rFonts w:ascii="Arial" w:eastAsia="Calibri" w:hAnsi="Arial" w:cs="Arial"/>
          <w:spacing w:val="-1"/>
          <w:sz w:val="17"/>
          <w:szCs w:val="17"/>
        </w:rPr>
      </w:pPr>
    </w:p>
    <w:p w:rsidR="007A5CAF" w:rsidRPr="002D70DA" w:rsidRDefault="007A5CAF" w:rsidP="007A5CAF">
      <w:pPr>
        <w:pStyle w:val="Prrafodelista"/>
        <w:numPr>
          <w:ilvl w:val="0"/>
          <w:numId w:val="20"/>
        </w:numPr>
        <w:spacing w:before="80" w:line="250" w:lineRule="exact"/>
        <w:contextualSpacing w:val="0"/>
        <w:jc w:val="both"/>
        <w:rPr>
          <w:rFonts w:ascii="Arial" w:eastAsia="Calibri" w:hAnsi="Arial" w:cs="Arial"/>
          <w:b/>
          <w:spacing w:val="-1"/>
          <w:sz w:val="17"/>
          <w:szCs w:val="17"/>
        </w:rPr>
      </w:pPr>
      <w:r w:rsidRPr="007A5CAF">
        <w:rPr>
          <w:rFonts w:ascii="Arial" w:eastAsia="Calibri" w:hAnsi="Arial" w:cs="Arial"/>
          <w:b/>
          <w:spacing w:val="-1"/>
          <w:sz w:val="17"/>
          <w:szCs w:val="17"/>
        </w:rPr>
        <w:t>Derechos a Recibir Efectivo o Equivalentes a Largo Plazo</w:t>
      </w:r>
    </w:p>
    <w:p w:rsidR="007A5CAF" w:rsidRDefault="007A5CAF"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saldo al 31 de diciembre del 2016 de la cuenta </w:t>
      </w:r>
      <w:r w:rsidRPr="007A5CAF">
        <w:rPr>
          <w:rFonts w:ascii="Arial" w:eastAsia="Calibri" w:hAnsi="Arial" w:cs="Arial"/>
          <w:spacing w:val="-1"/>
          <w:sz w:val="17"/>
          <w:szCs w:val="17"/>
        </w:rPr>
        <w:t>Otros Derechos a Recibir Efectivo o Equivalentes a Largo Plazo</w:t>
      </w:r>
      <w:r>
        <w:rPr>
          <w:rFonts w:ascii="Arial" w:eastAsia="Calibri" w:hAnsi="Arial" w:cs="Arial"/>
          <w:spacing w:val="-1"/>
          <w:sz w:val="17"/>
          <w:szCs w:val="17"/>
        </w:rPr>
        <w:t xml:space="preserve">, no ha sufrido modificación toda vez que sigue vigente la cuenta por cobrar al </w:t>
      </w:r>
      <w:r w:rsidRPr="007A5CAF">
        <w:rPr>
          <w:rFonts w:ascii="Arial" w:eastAsia="Calibri" w:hAnsi="Arial" w:cs="Arial"/>
          <w:spacing w:val="-1"/>
          <w:sz w:val="17"/>
          <w:szCs w:val="17"/>
        </w:rPr>
        <w:t>Instituto de la Vivienda del Estado de Querétaro</w:t>
      </w:r>
      <w:r>
        <w:rPr>
          <w:rFonts w:ascii="Arial" w:eastAsia="Calibri" w:hAnsi="Arial" w:cs="Arial"/>
          <w:spacing w:val="-1"/>
          <w:sz w:val="17"/>
          <w:szCs w:val="17"/>
        </w:rPr>
        <w:t xml:space="preserve"> por un monto total de </w:t>
      </w:r>
      <w:r w:rsidRPr="007A5CAF">
        <w:rPr>
          <w:rFonts w:ascii="Arial" w:eastAsia="Calibri" w:hAnsi="Arial" w:cs="Arial"/>
          <w:spacing w:val="-1"/>
          <w:sz w:val="17"/>
          <w:szCs w:val="17"/>
        </w:rPr>
        <w:t>32</w:t>
      </w:r>
      <w:r>
        <w:rPr>
          <w:rFonts w:ascii="Arial" w:eastAsia="Calibri" w:hAnsi="Arial" w:cs="Arial"/>
          <w:spacing w:val="-1"/>
          <w:sz w:val="17"/>
          <w:szCs w:val="17"/>
        </w:rPr>
        <w:t>,</w:t>
      </w:r>
      <w:r w:rsidRPr="007A5CAF">
        <w:rPr>
          <w:rFonts w:ascii="Arial" w:eastAsia="Calibri" w:hAnsi="Arial" w:cs="Arial"/>
          <w:spacing w:val="-1"/>
          <w:sz w:val="17"/>
          <w:szCs w:val="17"/>
        </w:rPr>
        <w:t>397</w:t>
      </w:r>
      <w:r>
        <w:rPr>
          <w:rFonts w:ascii="Arial" w:eastAsia="Calibri" w:hAnsi="Arial" w:cs="Arial"/>
          <w:spacing w:val="-1"/>
          <w:sz w:val="17"/>
          <w:szCs w:val="17"/>
        </w:rPr>
        <w:t>,</w:t>
      </w:r>
      <w:r w:rsidRPr="007A5CAF">
        <w:rPr>
          <w:rFonts w:ascii="Arial" w:eastAsia="Calibri" w:hAnsi="Arial" w:cs="Arial"/>
          <w:spacing w:val="-1"/>
          <w:sz w:val="17"/>
          <w:szCs w:val="17"/>
        </w:rPr>
        <w:t>07</w:t>
      </w:r>
      <w:r>
        <w:rPr>
          <w:rFonts w:ascii="Arial" w:eastAsia="Calibri" w:hAnsi="Arial" w:cs="Arial"/>
          <w:spacing w:val="-1"/>
          <w:sz w:val="17"/>
          <w:szCs w:val="17"/>
        </w:rPr>
        <w:t>4</w:t>
      </w:r>
    </w:p>
    <w:p w:rsidR="00A96F1F" w:rsidRPr="002D70DA" w:rsidRDefault="00A96F1F" w:rsidP="006335BE">
      <w:pPr>
        <w:spacing w:before="80" w:line="250" w:lineRule="exact"/>
        <w:ind w:left="709"/>
        <w:jc w:val="both"/>
        <w:rPr>
          <w:rFonts w:ascii="Arial" w:eastAsia="Calibri" w:hAnsi="Arial" w:cs="Arial"/>
          <w:spacing w:val="-1"/>
          <w:sz w:val="17"/>
          <w:szCs w:val="17"/>
        </w:rPr>
      </w:pPr>
    </w:p>
    <w:p w:rsidR="00FB1073" w:rsidRDefault="00FB1073">
      <w:pPr>
        <w:rPr>
          <w:rFonts w:ascii="Arial" w:eastAsia="Calibri" w:hAnsi="Arial" w:cs="Arial"/>
          <w:b/>
          <w:spacing w:val="-1"/>
          <w:sz w:val="17"/>
          <w:szCs w:val="17"/>
        </w:rPr>
      </w:pPr>
      <w:r>
        <w:rPr>
          <w:rFonts w:ascii="Arial" w:eastAsia="Calibri" w:hAnsi="Arial" w:cs="Arial"/>
          <w:b/>
          <w:spacing w:val="-1"/>
          <w:sz w:val="17"/>
          <w:szCs w:val="17"/>
        </w:rPr>
        <w:br w:type="page"/>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7F7800" w:rsidRP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Se informa de manera agrupada por cuenta, el rubro de Bienes Muebles, el monto al 31 de diciembre del 2016:</w:t>
      </w:r>
    </w:p>
    <w:p w:rsidR="007F7800" w:rsidRPr="007F7800" w:rsidRDefault="007F7800" w:rsidP="007F7800">
      <w:pPr>
        <w:autoSpaceDE w:val="0"/>
        <w:autoSpaceDN w:val="0"/>
        <w:adjustRightInd w:val="0"/>
        <w:spacing w:before="240" w:after="120"/>
        <w:ind w:left="360"/>
        <w:jc w:val="center"/>
        <w:rPr>
          <w:rFonts w:ascii="Arial" w:eastAsia="Calibri" w:hAnsi="Arial" w:cs="Arial"/>
          <w:b/>
          <w:spacing w:val="-1"/>
          <w:sz w:val="17"/>
          <w:szCs w:val="17"/>
        </w:rPr>
      </w:pPr>
      <w:r w:rsidRPr="007F7800">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7F7800" w:rsidRPr="002D70DA" w:rsidTr="007F7800">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7F7800" w:rsidRPr="002D70DA" w:rsidRDefault="007F7800" w:rsidP="005304C7">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Pr>
                <w:rFonts w:ascii="Arial" w:hAnsi="Arial" w:cs="Arial"/>
                <w:b/>
                <w:bCs/>
                <w:color w:val="000000"/>
                <w:sz w:val="17"/>
                <w:szCs w:val="17"/>
              </w:rPr>
              <w:t>2015</w:t>
            </w:r>
          </w:p>
        </w:tc>
      </w:tr>
      <w:tr w:rsidR="007F7800"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hideMark/>
          </w:tcPr>
          <w:p w:rsidR="007F7800" w:rsidRPr="002912B2" w:rsidRDefault="007F7800" w:rsidP="005304C7">
            <w:pPr>
              <w:rPr>
                <w:rFonts w:ascii="Arial" w:hAnsi="Arial" w:cs="Arial"/>
                <w:sz w:val="17"/>
                <w:szCs w:val="17"/>
              </w:rPr>
            </w:pPr>
            <w:r w:rsidRPr="002912B2">
              <w:rPr>
                <w:rFonts w:ascii="Arial" w:hAnsi="Arial" w:cs="Arial"/>
                <w:sz w:val="17"/>
                <w:szCs w:val="17"/>
              </w:rPr>
              <w:t>Mobiliario y Equipo de Administración</w:t>
            </w:r>
          </w:p>
        </w:tc>
        <w:tc>
          <w:tcPr>
            <w:tcW w:w="2091" w:type="dxa"/>
            <w:tcBorders>
              <w:top w:val="single" w:sz="4" w:space="0" w:color="auto"/>
              <w:left w:val="nil"/>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417,470,525 </w:t>
            </w:r>
          </w:p>
        </w:tc>
        <w:tc>
          <w:tcPr>
            <w:tcW w:w="2148" w:type="dxa"/>
            <w:tcBorders>
              <w:top w:val="nil"/>
              <w:left w:val="single" w:sz="4" w:space="0" w:color="auto"/>
              <w:bottom w:val="single" w:sz="4" w:space="0" w:color="auto"/>
              <w:right w:val="single" w:sz="4" w:space="0" w:color="auto"/>
            </w:tcBorders>
            <w:shd w:val="clear" w:color="auto" w:fill="auto"/>
            <w:hideMark/>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508,685,536 </w:t>
            </w:r>
          </w:p>
        </w:tc>
      </w:tr>
      <w:tr w:rsidR="007F7800"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hideMark/>
          </w:tcPr>
          <w:p w:rsidR="007F7800" w:rsidRPr="002912B2" w:rsidRDefault="007F7800" w:rsidP="005304C7">
            <w:pPr>
              <w:rPr>
                <w:rFonts w:ascii="Arial" w:hAnsi="Arial" w:cs="Arial"/>
                <w:sz w:val="17"/>
                <w:szCs w:val="17"/>
              </w:rPr>
            </w:pPr>
            <w:r w:rsidRPr="002912B2">
              <w:rPr>
                <w:rFonts w:ascii="Arial" w:hAnsi="Arial" w:cs="Arial"/>
                <w:sz w:val="17"/>
                <w:szCs w:val="17"/>
              </w:rPr>
              <w:t>Mobiliario y Equipo Educacional y Recreativo</w:t>
            </w:r>
          </w:p>
        </w:tc>
        <w:tc>
          <w:tcPr>
            <w:tcW w:w="2091" w:type="dxa"/>
            <w:tcBorders>
              <w:top w:val="single" w:sz="4" w:space="0" w:color="auto"/>
              <w:left w:val="nil"/>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67,408,641 </w:t>
            </w:r>
          </w:p>
        </w:tc>
        <w:tc>
          <w:tcPr>
            <w:tcW w:w="2148" w:type="dxa"/>
            <w:tcBorders>
              <w:top w:val="nil"/>
              <w:left w:val="single" w:sz="4" w:space="0" w:color="auto"/>
              <w:bottom w:val="single" w:sz="4" w:space="0" w:color="auto"/>
              <w:right w:val="single" w:sz="4" w:space="0" w:color="auto"/>
            </w:tcBorders>
            <w:shd w:val="clear" w:color="auto" w:fill="auto"/>
            <w:hideMark/>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62,445,790 </w:t>
            </w:r>
          </w:p>
        </w:tc>
      </w:tr>
      <w:tr w:rsidR="007F7800"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hideMark/>
          </w:tcPr>
          <w:p w:rsidR="007F7800" w:rsidRPr="002912B2" w:rsidRDefault="007F7800" w:rsidP="005304C7">
            <w:pPr>
              <w:rPr>
                <w:rFonts w:ascii="Arial" w:hAnsi="Arial" w:cs="Arial"/>
                <w:sz w:val="17"/>
                <w:szCs w:val="17"/>
              </w:rPr>
            </w:pPr>
            <w:r w:rsidRPr="002912B2">
              <w:rPr>
                <w:rFonts w:ascii="Arial" w:hAnsi="Arial" w:cs="Arial"/>
                <w:sz w:val="17"/>
                <w:szCs w:val="17"/>
              </w:rPr>
              <w:t>Equipo e Instrumental Médico y de Laboratorio</w:t>
            </w:r>
          </w:p>
        </w:tc>
        <w:tc>
          <w:tcPr>
            <w:tcW w:w="2091" w:type="dxa"/>
            <w:tcBorders>
              <w:top w:val="single" w:sz="4" w:space="0" w:color="auto"/>
              <w:left w:val="nil"/>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11,711,972 </w:t>
            </w:r>
          </w:p>
        </w:tc>
        <w:tc>
          <w:tcPr>
            <w:tcW w:w="2148" w:type="dxa"/>
            <w:tcBorders>
              <w:top w:val="nil"/>
              <w:left w:val="single" w:sz="4" w:space="0" w:color="auto"/>
              <w:bottom w:val="single" w:sz="4" w:space="0" w:color="auto"/>
              <w:right w:val="single" w:sz="4" w:space="0" w:color="auto"/>
            </w:tcBorders>
            <w:shd w:val="clear" w:color="auto" w:fill="auto"/>
            <w:hideMark/>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76,368,872 </w:t>
            </w:r>
          </w:p>
        </w:tc>
      </w:tr>
      <w:tr w:rsidR="007F7800"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F7800" w:rsidRPr="002912B2" w:rsidRDefault="007F7800" w:rsidP="005304C7">
            <w:pPr>
              <w:rPr>
                <w:rFonts w:ascii="Arial" w:hAnsi="Arial" w:cs="Arial"/>
                <w:sz w:val="17"/>
                <w:szCs w:val="17"/>
              </w:rPr>
            </w:pPr>
            <w:r w:rsidRPr="002912B2">
              <w:rPr>
                <w:rFonts w:ascii="Arial" w:hAnsi="Arial" w:cs="Arial"/>
                <w:sz w:val="17"/>
                <w:szCs w:val="17"/>
              </w:rPr>
              <w:t>Vehículos y Equipo de Transporte</w:t>
            </w:r>
          </w:p>
        </w:tc>
        <w:tc>
          <w:tcPr>
            <w:tcW w:w="2091" w:type="dxa"/>
            <w:tcBorders>
              <w:top w:val="single" w:sz="4" w:space="0" w:color="auto"/>
              <w:left w:val="nil"/>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938,278,225 </w:t>
            </w:r>
          </w:p>
        </w:tc>
        <w:tc>
          <w:tcPr>
            <w:tcW w:w="2148" w:type="dxa"/>
            <w:tcBorders>
              <w:top w:val="nil"/>
              <w:left w:val="single" w:sz="4" w:space="0" w:color="auto"/>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1,009,453,368 </w:t>
            </w:r>
          </w:p>
        </w:tc>
      </w:tr>
      <w:tr w:rsidR="007F7800"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F7800" w:rsidRPr="002912B2" w:rsidRDefault="007F7800" w:rsidP="005304C7">
            <w:pPr>
              <w:rPr>
                <w:rFonts w:ascii="Arial" w:hAnsi="Arial" w:cs="Arial"/>
                <w:sz w:val="17"/>
                <w:szCs w:val="17"/>
              </w:rPr>
            </w:pPr>
            <w:r w:rsidRPr="002912B2">
              <w:rPr>
                <w:rFonts w:ascii="Arial" w:hAnsi="Arial" w:cs="Arial"/>
                <w:sz w:val="17"/>
                <w:szCs w:val="17"/>
              </w:rPr>
              <w:t>Equipo de Defensa y Seguridad</w:t>
            </w:r>
          </w:p>
        </w:tc>
        <w:tc>
          <w:tcPr>
            <w:tcW w:w="2091" w:type="dxa"/>
            <w:tcBorders>
              <w:top w:val="single" w:sz="4" w:space="0" w:color="auto"/>
              <w:left w:val="nil"/>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53,615,215 </w:t>
            </w:r>
          </w:p>
        </w:tc>
        <w:tc>
          <w:tcPr>
            <w:tcW w:w="2148" w:type="dxa"/>
            <w:tcBorders>
              <w:top w:val="nil"/>
              <w:left w:val="single" w:sz="4" w:space="0" w:color="auto"/>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78,744,023 </w:t>
            </w:r>
          </w:p>
        </w:tc>
      </w:tr>
      <w:tr w:rsidR="007F7800"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F7800" w:rsidRPr="002912B2" w:rsidRDefault="007F7800" w:rsidP="005304C7">
            <w:pPr>
              <w:rPr>
                <w:rFonts w:ascii="Arial" w:hAnsi="Arial" w:cs="Arial"/>
                <w:sz w:val="17"/>
                <w:szCs w:val="17"/>
              </w:rPr>
            </w:pPr>
            <w:r w:rsidRPr="002912B2">
              <w:rPr>
                <w:rFonts w:ascii="Arial" w:hAnsi="Arial" w:cs="Arial"/>
                <w:sz w:val="17"/>
                <w:szCs w:val="17"/>
              </w:rPr>
              <w:t>Maquinaria, Otros Equipos y Herramientas</w:t>
            </w:r>
          </w:p>
        </w:tc>
        <w:tc>
          <w:tcPr>
            <w:tcW w:w="2091" w:type="dxa"/>
            <w:tcBorders>
              <w:top w:val="single" w:sz="4" w:space="0" w:color="auto"/>
              <w:left w:val="nil"/>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344,033,624 </w:t>
            </w:r>
          </w:p>
        </w:tc>
        <w:tc>
          <w:tcPr>
            <w:tcW w:w="2148" w:type="dxa"/>
            <w:tcBorders>
              <w:top w:val="nil"/>
              <w:left w:val="single" w:sz="4" w:space="0" w:color="auto"/>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374,543,760 </w:t>
            </w:r>
          </w:p>
        </w:tc>
      </w:tr>
      <w:tr w:rsidR="007F7800" w:rsidRPr="002D70DA" w:rsidTr="007F780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F7800" w:rsidRPr="002912B2" w:rsidRDefault="007F7800" w:rsidP="005304C7">
            <w:pPr>
              <w:rPr>
                <w:rFonts w:ascii="Arial" w:hAnsi="Arial" w:cs="Arial"/>
                <w:sz w:val="17"/>
                <w:szCs w:val="17"/>
              </w:rPr>
            </w:pPr>
            <w:r w:rsidRPr="002912B2">
              <w:rPr>
                <w:rFonts w:ascii="Arial" w:hAnsi="Arial" w:cs="Arial"/>
                <w:sz w:val="17"/>
                <w:szCs w:val="17"/>
              </w:rPr>
              <w:t>Colecciones, Obras de Arte y Objetos Valiosos</w:t>
            </w:r>
          </w:p>
        </w:tc>
        <w:tc>
          <w:tcPr>
            <w:tcW w:w="2091" w:type="dxa"/>
            <w:tcBorders>
              <w:top w:val="single" w:sz="4" w:space="0" w:color="auto"/>
              <w:left w:val="nil"/>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19,870,093 </w:t>
            </w:r>
          </w:p>
        </w:tc>
        <w:tc>
          <w:tcPr>
            <w:tcW w:w="2148" w:type="dxa"/>
            <w:tcBorders>
              <w:top w:val="nil"/>
              <w:left w:val="single" w:sz="4" w:space="0" w:color="auto"/>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18,467,341 </w:t>
            </w:r>
          </w:p>
        </w:tc>
      </w:tr>
      <w:tr w:rsidR="007F7800" w:rsidRPr="002D70DA" w:rsidTr="007F7800">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F7800" w:rsidRPr="002912B2" w:rsidRDefault="007F7800" w:rsidP="005304C7">
            <w:pPr>
              <w:rPr>
                <w:rFonts w:ascii="Arial" w:hAnsi="Arial" w:cs="Arial"/>
                <w:sz w:val="17"/>
                <w:szCs w:val="17"/>
              </w:rPr>
            </w:pPr>
            <w:r w:rsidRPr="002912B2">
              <w:rPr>
                <w:rFonts w:ascii="Arial" w:hAnsi="Arial" w:cs="Arial"/>
                <w:sz w:val="17"/>
                <w:szCs w:val="17"/>
              </w:rPr>
              <w:t>Activos Biológicos</w:t>
            </w:r>
          </w:p>
        </w:tc>
        <w:tc>
          <w:tcPr>
            <w:tcW w:w="2091" w:type="dxa"/>
            <w:tcBorders>
              <w:top w:val="single" w:sz="4" w:space="0" w:color="auto"/>
              <w:left w:val="nil"/>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1,155,000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F7800" w:rsidRPr="002912B2" w:rsidRDefault="007F7800" w:rsidP="005304C7">
            <w:pPr>
              <w:jc w:val="right"/>
              <w:rPr>
                <w:rFonts w:ascii="Arial" w:hAnsi="Arial" w:cs="Arial"/>
                <w:sz w:val="17"/>
                <w:szCs w:val="17"/>
              </w:rPr>
            </w:pPr>
            <w:r w:rsidRPr="002912B2">
              <w:rPr>
                <w:rFonts w:ascii="Arial" w:hAnsi="Arial" w:cs="Arial"/>
                <w:sz w:val="17"/>
                <w:szCs w:val="17"/>
              </w:rPr>
              <w:t xml:space="preserve">1,186,000 </w:t>
            </w:r>
          </w:p>
        </w:tc>
      </w:tr>
      <w:tr w:rsidR="007F7800" w:rsidRPr="002D70DA" w:rsidTr="007F7800">
        <w:trPr>
          <w:trHeight w:val="240"/>
          <w:jc w:val="center"/>
        </w:trPr>
        <w:tc>
          <w:tcPr>
            <w:tcW w:w="4743" w:type="dxa"/>
            <w:tcBorders>
              <w:top w:val="single" w:sz="4" w:space="0" w:color="auto"/>
              <w:right w:val="single" w:sz="4" w:space="0" w:color="auto"/>
            </w:tcBorders>
            <w:shd w:val="clear" w:color="auto" w:fill="auto"/>
            <w:vAlign w:val="center"/>
          </w:tcPr>
          <w:p w:rsidR="007F7800" w:rsidRPr="00F93CE5" w:rsidRDefault="007F7800" w:rsidP="00494F9B">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F7800" w:rsidRPr="00C90054" w:rsidRDefault="007F7800" w:rsidP="005304C7">
            <w:pPr>
              <w:jc w:val="right"/>
              <w:rPr>
                <w:rFonts w:ascii="Arial" w:hAnsi="Arial" w:cs="Arial"/>
                <w:b/>
                <w:bCs/>
                <w:color w:val="000000"/>
                <w:sz w:val="17"/>
                <w:szCs w:val="17"/>
              </w:rPr>
            </w:pPr>
            <w:r w:rsidRPr="002912B2">
              <w:rPr>
                <w:rFonts w:ascii="Arial" w:hAnsi="Arial" w:cs="Arial"/>
                <w:b/>
                <w:bCs/>
                <w:color w:val="000000"/>
                <w:sz w:val="17"/>
                <w:szCs w:val="17"/>
              </w:rPr>
              <w:t>1,853,543,294</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7F7800" w:rsidRPr="00C90054" w:rsidRDefault="007F7800" w:rsidP="005304C7">
            <w:pPr>
              <w:jc w:val="right"/>
              <w:rPr>
                <w:rFonts w:ascii="Arial" w:hAnsi="Arial" w:cs="Arial"/>
                <w:b/>
                <w:bCs/>
                <w:color w:val="000000"/>
                <w:sz w:val="17"/>
                <w:szCs w:val="17"/>
              </w:rPr>
            </w:pPr>
            <w:r w:rsidRPr="002912B2">
              <w:rPr>
                <w:rFonts w:ascii="Arial" w:hAnsi="Arial" w:cs="Arial"/>
                <w:b/>
                <w:bCs/>
                <w:color w:val="000000"/>
                <w:sz w:val="17"/>
                <w:szCs w:val="17"/>
              </w:rPr>
              <w:t>2,129,894,691</w:t>
            </w:r>
          </w:p>
        </w:tc>
      </w:tr>
    </w:tbl>
    <w:p w:rsidR="00E856ED" w:rsidRDefault="00E856ED" w:rsidP="00E856ED">
      <w:pPr>
        <w:spacing w:before="80" w:line="250" w:lineRule="exact"/>
        <w:ind w:left="709"/>
        <w:jc w:val="both"/>
        <w:rPr>
          <w:rFonts w:ascii="Arial" w:eastAsia="Calibri" w:hAnsi="Arial" w:cs="Arial"/>
          <w:spacing w:val="-1"/>
          <w:sz w:val="17"/>
          <w:szCs w:val="17"/>
        </w:rPr>
      </w:pPr>
    </w:p>
    <w:p w:rsidR="007F7800" w:rsidRPr="00077B39" w:rsidRDefault="007F7800" w:rsidP="00E856ED">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La disminución en el saldo obedece principalmente a la desincorporación de bienes transferidos a la Fiscalía General del Estado de Querétaro.</w:t>
      </w:r>
    </w:p>
    <w:p w:rsidR="007F7800" w:rsidRPr="00077B39" w:rsidRDefault="007F7800" w:rsidP="00077B39">
      <w:pPr>
        <w:spacing w:before="80" w:line="250" w:lineRule="exact"/>
        <w:ind w:left="360"/>
        <w:jc w:val="both"/>
        <w:rPr>
          <w:rFonts w:ascii="Arial" w:eastAsia="Calibri" w:hAnsi="Arial" w:cs="Arial"/>
          <w:spacing w:val="-1"/>
          <w:sz w:val="17"/>
          <w:szCs w:val="17"/>
        </w:rPr>
      </w:pPr>
    </w:p>
    <w:p w:rsidR="007F7800" w:rsidRPr="00077B39" w:rsidRDefault="007F7800" w:rsidP="00E856ED">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Se informa de manera agrupada por cuenta, los rubros de bienes muebles, el monto al 31 de diciembre del 2016 de la depreciación del ejercicio y la acumulada, el método de depreciación, tasas aplicadas y los criterios de aplicación de los mismos. Asimismo, se informa de las características significativas del estado en que se encuentran los activos:</w:t>
      </w:r>
    </w:p>
    <w:p w:rsidR="007F7800" w:rsidRPr="00077B39" w:rsidRDefault="007F7800" w:rsidP="00077B39">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5008" w:type="pct"/>
        <w:jc w:val="center"/>
        <w:tblCellMar>
          <w:left w:w="70" w:type="dxa"/>
          <w:right w:w="70" w:type="dxa"/>
        </w:tblCellMar>
        <w:tblLook w:val="04A0" w:firstRow="1" w:lastRow="0" w:firstColumn="1" w:lastColumn="0" w:noHBand="0" w:noVBand="1"/>
      </w:tblPr>
      <w:tblGrid>
        <w:gridCol w:w="3045"/>
        <w:gridCol w:w="1447"/>
        <w:gridCol w:w="1447"/>
        <w:gridCol w:w="1447"/>
        <w:gridCol w:w="1141"/>
        <w:gridCol w:w="1269"/>
        <w:gridCol w:w="1769"/>
        <w:gridCol w:w="21"/>
        <w:gridCol w:w="1713"/>
      </w:tblGrid>
      <w:tr w:rsidR="007F7800" w:rsidRPr="002D70DA" w:rsidTr="00077B39">
        <w:trPr>
          <w:trHeight w:val="299"/>
          <w:jc w:val="center"/>
        </w:trPr>
        <w:tc>
          <w:tcPr>
            <w:tcW w:w="114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29"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477" w:type="pct"/>
            <w:vMerge w:val="restart"/>
            <w:tcBorders>
              <w:top w:val="single" w:sz="4" w:space="0" w:color="auto"/>
              <w:left w:val="nil"/>
              <w:right w:val="single" w:sz="4" w:space="0" w:color="auto"/>
            </w:tcBorders>
            <w:shd w:val="clear" w:color="auto" w:fill="D5DCE4" w:themeFill="text2" w:themeFillTint="33"/>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1317" w:type="pct"/>
            <w:gridSpan w:val="3"/>
            <w:tcBorders>
              <w:top w:val="single" w:sz="4" w:space="0" w:color="auto"/>
              <w:left w:val="nil"/>
              <w:bottom w:val="single" w:sz="4" w:space="0" w:color="auto"/>
              <w:right w:val="single" w:sz="4" w:space="0" w:color="auto"/>
            </w:tcBorders>
            <w:shd w:val="clear" w:color="auto" w:fill="D5DCE4" w:themeFill="text2" w:themeFillTint="33"/>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7F7800" w:rsidRPr="002D70DA" w:rsidTr="005304C7">
        <w:trPr>
          <w:trHeight w:val="299"/>
          <w:jc w:val="center"/>
        </w:trPr>
        <w:tc>
          <w:tcPr>
            <w:tcW w:w="1145" w:type="pct"/>
            <w:vMerge/>
            <w:tcBorders>
              <w:left w:val="single" w:sz="4" w:space="0" w:color="auto"/>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429"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477" w:type="pct"/>
            <w:vMerge/>
            <w:tcBorders>
              <w:left w:val="nil"/>
              <w:bottom w:val="single" w:sz="4" w:space="0" w:color="auto"/>
              <w:right w:val="single" w:sz="4" w:space="0" w:color="auto"/>
            </w:tcBorders>
            <w:shd w:val="clear" w:color="000000" w:fill="F2F2F2"/>
            <w:vAlign w:val="center"/>
          </w:tcPr>
          <w:p w:rsidR="007F7800" w:rsidRPr="002D70DA" w:rsidRDefault="007F7800" w:rsidP="005304C7">
            <w:pPr>
              <w:jc w:val="center"/>
              <w:rPr>
                <w:rFonts w:ascii="Arial" w:hAnsi="Arial" w:cs="Arial"/>
                <w:b/>
                <w:bCs/>
                <w:color w:val="000000"/>
                <w:sz w:val="17"/>
                <w:szCs w:val="17"/>
              </w:rPr>
            </w:pPr>
          </w:p>
        </w:tc>
        <w:tc>
          <w:tcPr>
            <w:tcW w:w="665" w:type="pct"/>
            <w:tcBorders>
              <w:top w:val="single" w:sz="4" w:space="0" w:color="auto"/>
              <w:left w:val="nil"/>
              <w:bottom w:val="single" w:sz="4" w:space="0" w:color="auto"/>
              <w:right w:val="single" w:sz="4" w:space="0" w:color="auto"/>
            </w:tcBorders>
            <w:shd w:val="clear" w:color="000000" w:fill="F2F2F2"/>
          </w:tcPr>
          <w:p w:rsidR="007F7800" w:rsidRPr="002D70DA" w:rsidRDefault="007F7800" w:rsidP="005304C7">
            <w:pPr>
              <w:jc w:val="center"/>
              <w:rPr>
                <w:rFonts w:ascii="Arial" w:hAnsi="Arial" w:cs="Arial"/>
                <w:b/>
                <w:bCs/>
                <w:color w:val="000000"/>
                <w:sz w:val="17"/>
                <w:szCs w:val="17"/>
              </w:rPr>
            </w:pPr>
            <w:r w:rsidRPr="00CF62AC">
              <w:rPr>
                <w:rFonts w:ascii="Arial" w:hAnsi="Arial" w:cs="Arial"/>
                <w:b/>
                <w:bCs/>
                <w:color w:val="000000"/>
                <w:sz w:val="17"/>
                <w:szCs w:val="17"/>
              </w:rPr>
              <w:t>Aptos para su uso</w:t>
            </w:r>
          </w:p>
        </w:tc>
        <w:tc>
          <w:tcPr>
            <w:tcW w:w="652" w:type="pct"/>
            <w:gridSpan w:val="2"/>
            <w:tcBorders>
              <w:top w:val="single" w:sz="4" w:space="0" w:color="auto"/>
              <w:left w:val="nil"/>
              <w:bottom w:val="single" w:sz="4" w:space="0" w:color="auto"/>
              <w:right w:val="single" w:sz="4" w:space="0" w:color="auto"/>
            </w:tcBorders>
            <w:shd w:val="clear" w:color="000000" w:fill="F2F2F2"/>
          </w:tcPr>
          <w:p w:rsidR="007F7800" w:rsidRPr="002D70DA" w:rsidRDefault="007F7800" w:rsidP="005304C7">
            <w:pPr>
              <w:jc w:val="center"/>
              <w:rPr>
                <w:rFonts w:ascii="Arial" w:hAnsi="Arial" w:cs="Arial"/>
                <w:b/>
                <w:bCs/>
                <w:color w:val="000000"/>
                <w:sz w:val="17"/>
                <w:szCs w:val="17"/>
              </w:rPr>
            </w:pPr>
            <w:r w:rsidRPr="00CF62AC">
              <w:rPr>
                <w:rFonts w:ascii="Arial" w:hAnsi="Arial" w:cs="Arial"/>
                <w:b/>
                <w:bCs/>
                <w:color w:val="000000"/>
                <w:sz w:val="17"/>
                <w:szCs w:val="17"/>
              </w:rPr>
              <w:t>No Aptos o Inservibles</w:t>
            </w:r>
          </w:p>
        </w:tc>
      </w:tr>
      <w:tr w:rsidR="007F7800"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7F7800" w:rsidRPr="002D70DA" w:rsidRDefault="007F7800" w:rsidP="005304C7">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12,610,345</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49,059,645</w:t>
            </w:r>
          </w:p>
        </w:tc>
        <w:tc>
          <w:tcPr>
            <w:tcW w:w="544"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10 y 33.3 % anual</w:t>
            </w:r>
          </w:p>
        </w:tc>
        <w:tc>
          <w:tcPr>
            <w:tcW w:w="477" w:type="pct"/>
            <w:tcBorders>
              <w:top w:val="nil"/>
              <w:left w:val="nil"/>
              <w:bottom w:val="single" w:sz="4" w:space="0" w:color="auto"/>
              <w:right w:val="single" w:sz="4" w:space="0" w:color="auto"/>
            </w:tcBorders>
            <w:shd w:val="clear" w:color="auto" w:fill="auto"/>
            <w:vAlign w:val="center"/>
            <w:hideMark/>
          </w:tcPr>
          <w:p w:rsidR="007F7800" w:rsidRPr="00131D99" w:rsidRDefault="007F7800" w:rsidP="005304C7">
            <w:pPr>
              <w:rPr>
                <w:rFonts w:ascii="Arial" w:hAnsi="Arial" w:cs="Arial"/>
                <w:color w:val="000000"/>
                <w:sz w:val="17"/>
                <w:szCs w:val="17"/>
              </w:rPr>
            </w:pP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7F7800" w:rsidRPr="000912A5" w:rsidRDefault="007F7800" w:rsidP="005304C7">
            <w:pPr>
              <w:jc w:val="center"/>
              <w:rPr>
                <w:rFonts w:ascii="Arial" w:hAnsi="Arial" w:cs="Arial"/>
                <w:color w:val="000000"/>
                <w:sz w:val="17"/>
                <w:szCs w:val="17"/>
              </w:rPr>
            </w:pPr>
            <w:r w:rsidRPr="000912A5">
              <w:rPr>
                <w:rFonts w:ascii="Arial" w:hAnsi="Arial" w:cs="Arial"/>
                <w:color w:val="000000"/>
                <w:sz w:val="17"/>
                <w:szCs w:val="17"/>
              </w:rPr>
              <w:t>6</w:t>
            </w:r>
            <w:r>
              <w:rPr>
                <w:rFonts w:ascii="Arial" w:hAnsi="Arial" w:cs="Arial"/>
                <w:color w:val="000000"/>
                <w:sz w:val="17"/>
                <w:szCs w:val="17"/>
              </w:rPr>
              <w:t>8</w:t>
            </w:r>
            <w:r w:rsidRPr="000912A5">
              <w:rPr>
                <w:rFonts w:ascii="Arial" w:hAnsi="Arial" w:cs="Arial"/>
                <w:color w:val="000000"/>
                <w:sz w:val="17"/>
                <w:szCs w:val="17"/>
              </w:rPr>
              <w:t>,</w:t>
            </w:r>
            <w:r>
              <w:rPr>
                <w:rFonts w:ascii="Arial" w:hAnsi="Arial" w:cs="Arial"/>
                <w:color w:val="000000"/>
                <w:sz w:val="17"/>
                <w:szCs w:val="17"/>
              </w:rPr>
              <w:t>430</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663</w:t>
            </w:r>
          </w:p>
        </w:tc>
      </w:tr>
      <w:tr w:rsidR="007F7800"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7F7800" w:rsidRPr="002D70DA" w:rsidRDefault="007F7800" w:rsidP="005304C7">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2,547,869</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6,629,949</w:t>
            </w:r>
          </w:p>
        </w:tc>
        <w:tc>
          <w:tcPr>
            <w:tcW w:w="544"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20 y 33.3 % anual</w:t>
            </w:r>
          </w:p>
        </w:tc>
        <w:tc>
          <w:tcPr>
            <w:tcW w:w="477" w:type="pct"/>
            <w:tcBorders>
              <w:top w:val="nil"/>
              <w:left w:val="nil"/>
              <w:bottom w:val="single" w:sz="4" w:space="0" w:color="auto"/>
              <w:right w:val="single" w:sz="4" w:space="0" w:color="auto"/>
            </w:tcBorders>
            <w:shd w:val="clear" w:color="auto" w:fill="auto"/>
            <w:vAlign w:val="center"/>
            <w:hideMark/>
          </w:tcPr>
          <w:p w:rsidR="007F7800" w:rsidRPr="00131D99" w:rsidRDefault="007F7800" w:rsidP="005304C7">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4,115</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28</w:t>
            </w:r>
          </w:p>
        </w:tc>
      </w:tr>
      <w:tr w:rsidR="007F7800"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7F7800" w:rsidRPr="002D70DA" w:rsidRDefault="007F7800" w:rsidP="005304C7">
            <w:pPr>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-264,820</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502,187</w:t>
            </w:r>
          </w:p>
        </w:tc>
        <w:tc>
          <w:tcPr>
            <w:tcW w:w="544"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7F7800" w:rsidRPr="00131D99" w:rsidRDefault="007F7800" w:rsidP="005304C7">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730</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1</w:t>
            </w:r>
          </w:p>
        </w:tc>
      </w:tr>
      <w:tr w:rsidR="007F7800"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7F7800" w:rsidRPr="002D70DA" w:rsidRDefault="007F7800" w:rsidP="005304C7">
            <w:pPr>
              <w:rPr>
                <w:rFonts w:ascii="Arial" w:hAnsi="Arial" w:cs="Arial"/>
                <w:color w:val="000000"/>
                <w:sz w:val="17"/>
                <w:szCs w:val="17"/>
              </w:rPr>
            </w:pPr>
            <w:r w:rsidRPr="002D70DA">
              <w:rPr>
                <w:rFonts w:ascii="Arial" w:hAnsi="Arial" w:cs="Arial"/>
                <w:color w:val="000000"/>
                <w:sz w:val="17"/>
                <w:szCs w:val="17"/>
              </w:rPr>
              <w:t>Equipo de transporte</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51,534,497</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134,163,044</w:t>
            </w:r>
          </w:p>
        </w:tc>
        <w:tc>
          <w:tcPr>
            <w:tcW w:w="544"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7F7800" w:rsidRPr="00131D99" w:rsidRDefault="007F7800" w:rsidP="005304C7">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5,056</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21</w:t>
            </w:r>
          </w:p>
        </w:tc>
      </w:tr>
      <w:tr w:rsidR="007F7800"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7F7800" w:rsidRPr="002D70DA" w:rsidRDefault="007F7800" w:rsidP="005304C7">
            <w:pPr>
              <w:rPr>
                <w:rFonts w:ascii="Arial" w:hAnsi="Arial" w:cs="Arial"/>
                <w:color w:val="000000"/>
                <w:sz w:val="17"/>
                <w:szCs w:val="17"/>
              </w:rPr>
            </w:pPr>
            <w:r w:rsidRPr="002D70DA">
              <w:rPr>
                <w:rFonts w:ascii="Arial" w:hAnsi="Arial" w:cs="Arial"/>
                <w:color w:val="000000"/>
                <w:sz w:val="17"/>
                <w:szCs w:val="17"/>
              </w:rPr>
              <w:t>Equipo de defensa y seguridad</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387,711</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6,955,946</w:t>
            </w:r>
          </w:p>
        </w:tc>
        <w:tc>
          <w:tcPr>
            <w:tcW w:w="544"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7F7800" w:rsidRPr="00131D99" w:rsidRDefault="007F7800" w:rsidP="005304C7">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7,010</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1</w:t>
            </w:r>
          </w:p>
        </w:tc>
      </w:tr>
      <w:tr w:rsidR="007F7800" w:rsidRPr="002D70DA" w:rsidTr="00077B39">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7F7800" w:rsidRPr="002D70DA" w:rsidRDefault="007F7800" w:rsidP="005304C7">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8,575,384</w:t>
            </w:r>
          </w:p>
        </w:tc>
        <w:tc>
          <w:tcPr>
            <w:tcW w:w="544" w:type="pct"/>
            <w:tcBorders>
              <w:top w:val="nil"/>
              <w:left w:val="nil"/>
              <w:bottom w:val="single" w:sz="4" w:space="0" w:color="auto"/>
              <w:right w:val="single" w:sz="4" w:space="0" w:color="auto"/>
            </w:tcBorders>
            <w:shd w:val="clear" w:color="auto" w:fill="auto"/>
          </w:tcPr>
          <w:p w:rsidR="007F7800" w:rsidRPr="000A5319" w:rsidRDefault="007F7800" w:rsidP="005304C7">
            <w:pPr>
              <w:jc w:val="right"/>
              <w:rPr>
                <w:rFonts w:ascii="Arial" w:hAnsi="Arial" w:cs="Arial"/>
                <w:sz w:val="17"/>
                <w:szCs w:val="17"/>
              </w:rPr>
            </w:pPr>
            <w:r w:rsidRPr="000A5319">
              <w:rPr>
                <w:rFonts w:ascii="Arial" w:hAnsi="Arial" w:cs="Arial"/>
                <w:sz w:val="17"/>
                <w:szCs w:val="17"/>
              </w:rPr>
              <w:t>23,332,646</w:t>
            </w:r>
          </w:p>
        </w:tc>
        <w:tc>
          <w:tcPr>
            <w:tcW w:w="544"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7F7800" w:rsidRPr="00131D99" w:rsidRDefault="007F7800" w:rsidP="005304C7">
            <w:pPr>
              <w:rPr>
                <w:rFonts w:ascii="Arial" w:hAnsi="Arial" w:cs="Arial"/>
                <w:sz w:val="17"/>
                <w:szCs w:val="17"/>
              </w:rPr>
            </w:pPr>
            <w:r w:rsidRPr="00131D99">
              <w:rPr>
                <w:rFonts w:ascii="Arial" w:hAnsi="Arial" w:cs="Arial"/>
                <w:sz w:val="17"/>
                <w:szCs w:val="17"/>
              </w:rPr>
              <w:t>10% anual</w:t>
            </w:r>
          </w:p>
        </w:tc>
        <w:tc>
          <w:tcPr>
            <w:tcW w:w="477" w:type="pct"/>
            <w:tcBorders>
              <w:top w:val="nil"/>
              <w:left w:val="nil"/>
              <w:bottom w:val="single" w:sz="4" w:space="0" w:color="auto"/>
              <w:right w:val="single" w:sz="4" w:space="0" w:color="auto"/>
            </w:tcBorders>
            <w:shd w:val="clear" w:color="auto" w:fill="auto"/>
            <w:vAlign w:val="center"/>
            <w:hideMark/>
          </w:tcPr>
          <w:p w:rsidR="007F7800" w:rsidRPr="00131D99" w:rsidRDefault="007F7800" w:rsidP="005304C7">
            <w:pPr>
              <w:rPr>
                <w:rFonts w:ascii="Arial" w:hAnsi="Arial" w:cs="Arial"/>
                <w:color w:val="000000"/>
                <w:sz w:val="17"/>
                <w:szCs w:val="17"/>
              </w:rPr>
            </w:pPr>
            <w:r w:rsidRPr="00131D99">
              <w:rPr>
                <w:rFonts w:ascii="Arial" w:hAnsi="Arial" w:cs="Arial"/>
                <w:color w:val="000000"/>
                <w:sz w:val="17"/>
                <w:szCs w:val="17"/>
              </w:rPr>
              <w:t> </w:t>
            </w: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7F7800" w:rsidRPr="000912A5" w:rsidRDefault="007F7800" w:rsidP="005304C7">
            <w:pPr>
              <w:jc w:val="center"/>
              <w:rPr>
                <w:rFonts w:ascii="Arial" w:hAnsi="Arial" w:cs="Arial"/>
                <w:color w:val="000000"/>
                <w:sz w:val="17"/>
                <w:szCs w:val="17"/>
              </w:rPr>
            </w:pPr>
            <w:r w:rsidRPr="000912A5">
              <w:rPr>
                <w:rFonts w:ascii="Arial" w:hAnsi="Arial" w:cs="Arial"/>
                <w:color w:val="000000"/>
                <w:sz w:val="17"/>
                <w:szCs w:val="17"/>
              </w:rPr>
              <w:t>12,</w:t>
            </w:r>
            <w:r>
              <w:rPr>
                <w:rFonts w:ascii="Arial" w:hAnsi="Arial" w:cs="Arial"/>
                <w:color w:val="000000"/>
                <w:sz w:val="17"/>
                <w:szCs w:val="17"/>
              </w:rPr>
              <w:t>667</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7F7800" w:rsidRPr="000912A5" w:rsidRDefault="007F7800" w:rsidP="005304C7">
            <w:pPr>
              <w:jc w:val="center"/>
              <w:rPr>
                <w:rFonts w:ascii="Arial" w:hAnsi="Arial" w:cs="Arial"/>
                <w:color w:val="000000"/>
                <w:sz w:val="17"/>
                <w:szCs w:val="17"/>
              </w:rPr>
            </w:pPr>
            <w:r>
              <w:rPr>
                <w:rFonts w:ascii="Arial" w:hAnsi="Arial" w:cs="Arial"/>
                <w:color w:val="000000"/>
                <w:sz w:val="17"/>
                <w:szCs w:val="17"/>
              </w:rPr>
              <w:t>284</w:t>
            </w:r>
          </w:p>
        </w:tc>
      </w:tr>
      <w:tr w:rsidR="007F7800" w:rsidRPr="002D70DA" w:rsidTr="005304C7">
        <w:trPr>
          <w:trHeight w:val="240"/>
          <w:jc w:val="center"/>
        </w:trPr>
        <w:tc>
          <w:tcPr>
            <w:tcW w:w="1145" w:type="pct"/>
            <w:tcBorders>
              <w:top w:val="nil"/>
              <w:left w:val="nil"/>
              <w:bottom w:val="nil"/>
              <w:right w:val="nil"/>
            </w:tcBorders>
            <w:shd w:val="clear" w:color="000000" w:fill="FFFFFF"/>
            <w:vAlign w:val="center"/>
            <w:hideMark/>
          </w:tcPr>
          <w:p w:rsidR="007F7800" w:rsidRPr="002D70DA" w:rsidRDefault="007F7800" w:rsidP="005304C7">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44" w:type="pct"/>
            <w:tcBorders>
              <w:top w:val="nil"/>
              <w:left w:val="single" w:sz="4" w:space="0" w:color="auto"/>
              <w:bottom w:val="single" w:sz="4" w:space="0" w:color="auto"/>
              <w:right w:val="single" w:sz="4" w:space="0" w:color="auto"/>
            </w:tcBorders>
            <w:shd w:val="clear" w:color="000000" w:fill="FFFFFF"/>
            <w:vAlign w:val="center"/>
            <w:hideMark/>
          </w:tcPr>
          <w:p w:rsidR="007F7800" w:rsidRPr="002D70DA" w:rsidRDefault="007F7800" w:rsidP="005304C7">
            <w:pPr>
              <w:jc w:val="right"/>
              <w:rPr>
                <w:rFonts w:ascii="Arial" w:hAnsi="Arial" w:cs="Arial"/>
                <w:b/>
                <w:bCs/>
                <w:color w:val="000000"/>
                <w:sz w:val="17"/>
                <w:szCs w:val="17"/>
              </w:rPr>
            </w:pPr>
            <w:r w:rsidRPr="000A5319">
              <w:rPr>
                <w:rFonts w:ascii="Arial" w:hAnsi="Arial" w:cs="Arial"/>
                <w:b/>
                <w:bCs/>
                <w:color w:val="000000"/>
                <w:sz w:val="17"/>
                <w:szCs w:val="17"/>
                <w14:numForm w14:val="lining"/>
              </w:rPr>
              <w:t>75,390,986</w:t>
            </w:r>
          </w:p>
        </w:tc>
        <w:tc>
          <w:tcPr>
            <w:tcW w:w="544" w:type="pct"/>
            <w:tcBorders>
              <w:top w:val="nil"/>
              <w:left w:val="nil"/>
              <w:bottom w:val="single" w:sz="4" w:space="0" w:color="auto"/>
              <w:right w:val="single" w:sz="4" w:space="0" w:color="auto"/>
            </w:tcBorders>
            <w:shd w:val="clear" w:color="000000" w:fill="FFFFFF"/>
            <w:vAlign w:val="center"/>
            <w:hideMark/>
          </w:tcPr>
          <w:p w:rsidR="007F7800" w:rsidRPr="002D70DA" w:rsidRDefault="007F7800" w:rsidP="005304C7">
            <w:pPr>
              <w:jc w:val="right"/>
              <w:rPr>
                <w:rFonts w:ascii="Arial" w:hAnsi="Arial" w:cs="Arial"/>
                <w:b/>
                <w:bCs/>
                <w:color w:val="000000"/>
                <w:sz w:val="17"/>
                <w:szCs w:val="17"/>
              </w:rPr>
            </w:pPr>
            <w:r w:rsidRPr="000A5319">
              <w:rPr>
                <w:rFonts w:ascii="Arial" w:hAnsi="Arial" w:cs="Arial"/>
                <w:b/>
                <w:bCs/>
                <w:color w:val="000000"/>
                <w:sz w:val="17"/>
                <w:szCs w:val="17"/>
                <w14:numForm w14:val="lining"/>
              </w:rPr>
              <w:t>220,643,417</w:t>
            </w:r>
          </w:p>
        </w:tc>
        <w:tc>
          <w:tcPr>
            <w:tcW w:w="544" w:type="pct"/>
            <w:tcBorders>
              <w:top w:val="nil"/>
              <w:left w:val="nil"/>
              <w:bottom w:val="nil"/>
              <w:right w:val="nil"/>
            </w:tcBorders>
            <w:shd w:val="clear" w:color="000000" w:fill="FFFFFF"/>
            <w:noWrap/>
            <w:vAlign w:val="bottom"/>
            <w:hideMark/>
          </w:tcPr>
          <w:p w:rsidR="007F7800" w:rsidRPr="002D70DA" w:rsidRDefault="007F7800" w:rsidP="005304C7">
            <w:pPr>
              <w:rPr>
                <w:rFonts w:ascii="Arial" w:hAnsi="Arial" w:cs="Arial"/>
                <w:b/>
                <w:bCs/>
                <w:color w:val="FF0000"/>
                <w:sz w:val="17"/>
                <w:szCs w:val="17"/>
              </w:rPr>
            </w:pPr>
            <w:r w:rsidRPr="002D70DA">
              <w:rPr>
                <w:rFonts w:ascii="Arial" w:hAnsi="Arial" w:cs="Arial"/>
                <w:b/>
                <w:bCs/>
                <w:color w:val="FF0000"/>
                <w:sz w:val="17"/>
                <w:szCs w:val="17"/>
              </w:rPr>
              <w:t> </w:t>
            </w:r>
          </w:p>
        </w:tc>
        <w:tc>
          <w:tcPr>
            <w:tcW w:w="429" w:type="pct"/>
            <w:tcBorders>
              <w:top w:val="nil"/>
              <w:left w:val="nil"/>
              <w:bottom w:val="nil"/>
              <w:right w:val="nil"/>
            </w:tcBorders>
            <w:shd w:val="clear" w:color="000000" w:fill="FFFFFF"/>
            <w:noWrap/>
            <w:vAlign w:val="bottom"/>
            <w:hideMark/>
          </w:tcPr>
          <w:p w:rsidR="007F7800" w:rsidRPr="002D70DA" w:rsidRDefault="007F7800" w:rsidP="005304C7">
            <w:pPr>
              <w:rPr>
                <w:rFonts w:ascii="Arial" w:hAnsi="Arial" w:cs="Arial"/>
                <w:b/>
                <w:bCs/>
                <w:color w:val="FF0000"/>
                <w:sz w:val="17"/>
                <w:szCs w:val="17"/>
              </w:rPr>
            </w:pPr>
            <w:r w:rsidRPr="002D70DA">
              <w:rPr>
                <w:rFonts w:ascii="Arial" w:hAnsi="Arial" w:cs="Arial"/>
                <w:b/>
                <w:bCs/>
                <w:color w:val="FF0000"/>
                <w:sz w:val="17"/>
                <w:szCs w:val="17"/>
              </w:rPr>
              <w:t> </w:t>
            </w:r>
          </w:p>
        </w:tc>
        <w:tc>
          <w:tcPr>
            <w:tcW w:w="477" w:type="pct"/>
            <w:tcBorders>
              <w:top w:val="nil"/>
              <w:left w:val="nil"/>
              <w:bottom w:val="nil"/>
              <w:right w:val="nil"/>
            </w:tcBorders>
            <w:shd w:val="clear" w:color="000000" w:fill="FFFFFF"/>
            <w:noWrap/>
            <w:vAlign w:val="bottom"/>
            <w:hideMark/>
          </w:tcPr>
          <w:p w:rsidR="007F7800" w:rsidRPr="002D70DA" w:rsidRDefault="007F7800" w:rsidP="005304C7">
            <w:pPr>
              <w:rPr>
                <w:rFonts w:ascii="Arial" w:hAnsi="Arial" w:cs="Arial"/>
                <w:b/>
                <w:bCs/>
                <w:color w:val="FF0000"/>
                <w:sz w:val="17"/>
                <w:szCs w:val="17"/>
              </w:rPr>
            </w:pPr>
            <w:r w:rsidRPr="002D70DA">
              <w:rPr>
                <w:rFonts w:ascii="Arial" w:hAnsi="Arial" w:cs="Arial"/>
                <w:b/>
                <w:bCs/>
                <w:color w:val="FF0000"/>
                <w:sz w:val="17"/>
                <w:szCs w:val="17"/>
              </w:rPr>
              <w:t> </w:t>
            </w:r>
          </w:p>
        </w:tc>
        <w:tc>
          <w:tcPr>
            <w:tcW w:w="673" w:type="pct"/>
            <w:gridSpan w:val="2"/>
            <w:tcBorders>
              <w:top w:val="nil"/>
              <w:left w:val="nil"/>
              <w:bottom w:val="nil"/>
              <w:right w:val="nil"/>
            </w:tcBorders>
            <w:shd w:val="clear" w:color="000000" w:fill="FFFFFF"/>
          </w:tcPr>
          <w:p w:rsidR="007F7800" w:rsidRPr="002D70DA" w:rsidRDefault="007F7800" w:rsidP="005304C7">
            <w:pPr>
              <w:rPr>
                <w:rFonts w:ascii="Arial" w:hAnsi="Arial" w:cs="Arial"/>
                <w:b/>
                <w:bCs/>
                <w:color w:val="FF0000"/>
                <w:sz w:val="17"/>
                <w:szCs w:val="17"/>
              </w:rPr>
            </w:pPr>
          </w:p>
        </w:tc>
        <w:tc>
          <w:tcPr>
            <w:tcW w:w="644" w:type="pct"/>
            <w:tcBorders>
              <w:top w:val="nil"/>
              <w:left w:val="nil"/>
              <w:bottom w:val="nil"/>
              <w:right w:val="nil"/>
            </w:tcBorders>
            <w:shd w:val="clear" w:color="000000" w:fill="FFFFFF"/>
            <w:noWrap/>
            <w:vAlign w:val="bottom"/>
            <w:hideMark/>
          </w:tcPr>
          <w:p w:rsidR="007F7800" w:rsidRPr="002D70DA" w:rsidRDefault="007F7800" w:rsidP="005304C7">
            <w:pPr>
              <w:rPr>
                <w:rFonts w:ascii="Arial" w:hAnsi="Arial" w:cs="Arial"/>
                <w:b/>
                <w:bCs/>
                <w:color w:val="FF0000"/>
                <w:sz w:val="17"/>
                <w:szCs w:val="17"/>
              </w:rPr>
            </w:pPr>
            <w:r w:rsidRPr="002D70DA">
              <w:rPr>
                <w:rFonts w:ascii="Arial" w:hAnsi="Arial" w:cs="Arial"/>
                <w:b/>
                <w:bCs/>
                <w:color w:val="FF0000"/>
                <w:sz w:val="17"/>
                <w:szCs w:val="17"/>
              </w:rPr>
              <w:t> </w:t>
            </w:r>
          </w:p>
        </w:tc>
      </w:tr>
    </w:tbl>
    <w:p w:rsidR="008918A4" w:rsidRPr="008918A4" w:rsidRDefault="008918A4" w:rsidP="008D31C1">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lastRenderedPageBreak/>
        <w:t xml:space="preserve">Se informa de manera agrupada por cuenta, el rubro de </w:t>
      </w:r>
      <w:r w:rsidR="00FA263F">
        <w:rPr>
          <w:rFonts w:ascii="Arial" w:eastAsia="Calibri" w:hAnsi="Arial" w:cs="Arial"/>
          <w:spacing w:val="-1"/>
          <w:sz w:val="17"/>
          <w:szCs w:val="17"/>
        </w:rPr>
        <w:t>B</w:t>
      </w:r>
      <w:r w:rsidRPr="008918A4">
        <w:rPr>
          <w:rFonts w:ascii="Arial" w:eastAsia="Calibri" w:hAnsi="Arial" w:cs="Arial"/>
          <w:spacing w:val="-1"/>
          <w:sz w:val="17"/>
          <w:szCs w:val="17"/>
        </w:rPr>
        <w:t xml:space="preserve">ienes </w:t>
      </w:r>
      <w:r w:rsidR="00FA263F">
        <w:rPr>
          <w:rFonts w:ascii="Arial" w:eastAsia="Calibri" w:hAnsi="Arial" w:cs="Arial"/>
          <w:spacing w:val="-1"/>
          <w:sz w:val="17"/>
          <w:szCs w:val="17"/>
        </w:rPr>
        <w:t>I</w:t>
      </w:r>
      <w:r w:rsidRPr="008918A4">
        <w:rPr>
          <w:rFonts w:ascii="Arial" w:eastAsia="Calibri" w:hAnsi="Arial" w:cs="Arial"/>
          <w:spacing w:val="-1"/>
          <w:sz w:val="17"/>
          <w:szCs w:val="17"/>
        </w:rPr>
        <w:t xml:space="preserve">nmuebles, </w:t>
      </w:r>
      <w:r w:rsidR="00FA263F">
        <w:rPr>
          <w:rFonts w:ascii="Arial" w:eastAsia="Calibri" w:hAnsi="Arial" w:cs="Arial"/>
          <w:spacing w:val="-1"/>
          <w:sz w:val="17"/>
          <w:szCs w:val="17"/>
        </w:rPr>
        <w:t>I</w:t>
      </w:r>
      <w:r w:rsidRPr="008918A4">
        <w:rPr>
          <w:rFonts w:ascii="Arial" w:eastAsia="Calibri" w:hAnsi="Arial" w:cs="Arial"/>
          <w:spacing w:val="-1"/>
          <w:sz w:val="17"/>
          <w:szCs w:val="17"/>
        </w:rPr>
        <w:t xml:space="preserve">nfraestructura y </w:t>
      </w:r>
      <w:r w:rsidR="00FA263F">
        <w:rPr>
          <w:rFonts w:ascii="Arial" w:eastAsia="Calibri" w:hAnsi="Arial" w:cs="Arial"/>
          <w:spacing w:val="-1"/>
          <w:sz w:val="17"/>
          <w:szCs w:val="17"/>
        </w:rPr>
        <w:t>C</w:t>
      </w:r>
      <w:r w:rsidRPr="008918A4">
        <w:rPr>
          <w:rFonts w:ascii="Arial" w:eastAsia="Calibri" w:hAnsi="Arial" w:cs="Arial"/>
          <w:spacing w:val="-1"/>
          <w:sz w:val="17"/>
          <w:szCs w:val="17"/>
        </w:rPr>
        <w:t xml:space="preserve">onstrucciones en </w:t>
      </w:r>
      <w:r w:rsidR="00FA263F">
        <w:rPr>
          <w:rFonts w:ascii="Arial" w:eastAsia="Calibri" w:hAnsi="Arial" w:cs="Arial"/>
          <w:spacing w:val="-1"/>
          <w:sz w:val="17"/>
          <w:szCs w:val="17"/>
        </w:rPr>
        <w:t>P</w:t>
      </w:r>
      <w:r w:rsidRPr="008918A4">
        <w:rPr>
          <w:rFonts w:ascii="Arial" w:eastAsia="Calibri" w:hAnsi="Arial" w:cs="Arial"/>
          <w:spacing w:val="-1"/>
          <w:sz w:val="17"/>
          <w:szCs w:val="17"/>
        </w:rPr>
        <w:t>roceso, el monto al 31 de diciembre del 2016:</w:t>
      </w:r>
    </w:p>
    <w:p w:rsidR="008918A4" w:rsidRPr="005540CE" w:rsidRDefault="008918A4" w:rsidP="005540C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8918A4" w:rsidRPr="002D70DA" w:rsidTr="00077B39">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18A4" w:rsidRPr="002D70DA" w:rsidRDefault="008918A4" w:rsidP="008918A4">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8918A4" w:rsidRPr="002D70DA" w:rsidRDefault="008918A4" w:rsidP="008918A4">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18A4" w:rsidRPr="002D70DA" w:rsidRDefault="008918A4" w:rsidP="008918A4">
            <w:pPr>
              <w:jc w:val="center"/>
              <w:rPr>
                <w:rFonts w:ascii="Arial" w:hAnsi="Arial" w:cs="Arial"/>
                <w:b/>
                <w:bCs/>
                <w:color w:val="000000"/>
                <w:sz w:val="17"/>
                <w:szCs w:val="17"/>
              </w:rPr>
            </w:pPr>
            <w:r>
              <w:rPr>
                <w:rFonts w:ascii="Arial" w:hAnsi="Arial" w:cs="Arial"/>
                <w:b/>
                <w:bCs/>
                <w:color w:val="000000"/>
                <w:sz w:val="17"/>
                <w:szCs w:val="17"/>
              </w:rPr>
              <w:t>2015</w:t>
            </w:r>
          </w:p>
        </w:tc>
      </w:tr>
      <w:tr w:rsidR="00E2301B" w:rsidRPr="002D70DA" w:rsidTr="0033436D">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E2301B" w:rsidRPr="00D10083" w:rsidRDefault="00E2301B" w:rsidP="00E2301B">
            <w:pPr>
              <w:rPr>
                <w:rFonts w:ascii="Arial" w:hAnsi="Arial" w:cs="Arial"/>
                <w:bCs/>
                <w:color w:val="000000"/>
                <w:sz w:val="17"/>
                <w:szCs w:val="17"/>
              </w:rPr>
            </w:pPr>
            <w:r w:rsidRPr="00D10083">
              <w:rPr>
                <w:rFonts w:ascii="Arial" w:hAnsi="Arial" w:cs="Arial"/>
                <w:bCs/>
                <w:color w:val="000000"/>
                <w:sz w:val="17"/>
                <w:szCs w:val="17"/>
              </w:rPr>
              <w:t>Terrenos</w:t>
            </w:r>
          </w:p>
        </w:tc>
        <w:tc>
          <w:tcPr>
            <w:tcW w:w="2091" w:type="dxa"/>
            <w:tcBorders>
              <w:top w:val="single" w:sz="4" w:space="0" w:color="auto"/>
              <w:left w:val="nil"/>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1,516,484,682 </w:t>
            </w:r>
          </w:p>
        </w:tc>
        <w:tc>
          <w:tcPr>
            <w:tcW w:w="2148" w:type="dxa"/>
            <w:tcBorders>
              <w:top w:val="nil"/>
              <w:left w:val="single" w:sz="4" w:space="0" w:color="auto"/>
              <w:bottom w:val="single" w:sz="4" w:space="0" w:color="auto"/>
              <w:right w:val="single" w:sz="4" w:space="0" w:color="auto"/>
            </w:tcBorders>
            <w:shd w:val="clear" w:color="auto" w:fill="auto"/>
            <w:hideMark/>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1,160,918,157 </w:t>
            </w:r>
          </w:p>
        </w:tc>
      </w:tr>
      <w:tr w:rsidR="00E2301B" w:rsidRPr="002D70DA" w:rsidTr="0033436D">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E2301B" w:rsidRPr="00D10083" w:rsidRDefault="00E2301B" w:rsidP="00E2301B">
            <w:pPr>
              <w:rPr>
                <w:rFonts w:ascii="Arial" w:hAnsi="Arial" w:cs="Arial"/>
                <w:bCs/>
                <w:color w:val="000000"/>
                <w:sz w:val="17"/>
                <w:szCs w:val="17"/>
              </w:rPr>
            </w:pPr>
            <w:r>
              <w:rPr>
                <w:rFonts w:ascii="Arial" w:hAnsi="Arial" w:cs="Arial"/>
                <w:bCs/>
                <w:color w:val="000000"/>
                <w:sz w:val="17"/>
                <w:szCs w:val="17"/>
              </w:rPr>
              <w:t>Viviendas</w:t>
            </w:r>
          </w:p>
        </w:tc>
        <w:tc>
          <w:tcPr>
            <w:tcW w:w="2091" w:type="dxa"/>
            <w:tcBorders>
              <w:top w:val="single" w:sz="4" w:space="0" w:color="auto"/>
              <w:left w:val="nil"/>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5,515,249 </w:t>
            </w:r>
          </w:p>
        </w:tc>
        <w:tc>
          <w:tcPr>
            <w:tcW w:w="2148" w:type="dxa"/>
            <w:tcBorders>
              <w:top w:val="nil"/>
              <w:left w:val="single" w:sz="4" w:space="0" w:color="auto"/>
              <w:bottom w:val="single" w:sz="4" w:space="0" w:color="auto"/>
              <w:right w:val="single" w:sz="4" w:space="0" w:color="auto"/>
            </w:tcBorders>
            <w:shd w:val="clear" w:color="auto" w:fill="auto"/>
            <w:hideMark/>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5,225,636 </w:t>
            </w:r>
          </w:p>
        </w:tc>
      </w:tr>
      <w:tr w:rsidR="00E2301B" w:rsidRPr="002D70DA" w:rsidTr="0033436D">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E2301B" w:rsidRPr="00D10083" w:rsidRDefault="00E2301B" w:rsidP="00E2301B">
            <w:pPr>
              <w:rPr>
                <w:rFonts w:ascii="Arial" w:hAnsi="Arial" w:cs="Arial"/>
                <w:bCs/>
                <w:color w:val="000000"/>
                <w:sz w:val="17"/>
                <w:szCs w:val="17"/>
              </w:rPr>
            </w:pPr>
            <w:r>
              <w:rPr>
                <w:rFonts w:ascii="Arial" w:hAnsi="Arial" w:cs="Arial"/>
                <w:bCs/>
                <w:color w:val="000000"/>
                <w:sz w:val="17"/>
                <w:szCs w:val="17"/>
              </w:rPr>
              <w:t>Edificios no Habitacionales</w:t>
            </w:r>
          </w:p>
        </w:tc>
        <w:tc>
          <w:tcPr>
            <w:tcW w:w="2091" w:type="dxa"/>
            <w:tcBorders>
              <w:top w:val="single" w:sz="4" w:space="0" w:color="auto"/>
              <w:left w:val="nil"/>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3,167,841,553 </w:t>
            </w:r>
          </w:p>
        </w:tc>
        <w:tc>
          <w:tcPr>
            <w:tcW w:w="2148" w:type="dxa"/>
            <w:tcBorders>
              <w:top w:val="nil"/>
              <w:left w:val="single" w:sz="4" w:space="0" w:color="auto"/>
              <w:bottom w:val="single" w:sz="4" w:space="0" w:color="auto"/>
              <w:right w:val="single" w:sz="4" w:space="0" w:color="auto"/>
            </w:tcBorders>
            <w:shd w:val="clear" w:color="auto" w:fill="auto"/>
            <w:hideMark/>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2,886,455,596 </w:t>
            </w:r>
          </w:p>
        </w:tc>
      </w:tr>
      <w:tr w:rsidR="00E2301B" w:rsidRPr="002D70DA" w:rsidTr="0033436D">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tcPr>
          <w:p w:rsidR="00E2301B" w:rsidRPr="00D10083" w:rsidRDefault="00E2301B" w:rsidP="00E2301B">
            <w:pPr>
              <w:rPr>
                <w:rFonts w:ascii="Arial" w:hAnsi="Arial" w:cs="Arial"/>
                <w:bCs/>
                <w:color w:val="000000"/>
                <w:sz w:val="17"/>
                <w:szCs w:val="17"/>
              </w:rPr>
            </w:pPr>
            <w:r>
              <w:rPr>
                <w:rFonts w:ascii="Arial" w:hAnsi="Arial" w:cs="Arial"/>
                <w:bCs/>
                <w:color w:val="000000"/>
                <w:sz w:val="17"/>
                <w:szCs w:val="17"/>
              </w:rPr>
              <w:t>Infraestructura</w:t>
            </w:r>
          </w:p>
        </w:tc>
        <w:tc>
          <w:tcPr>
            <w:tcW w:w="2091" w:type="dxa"/>
            <w:tcBorders>
              <w:top w:val="single" w:sz="4" w:space="0" w:color="auto"/>
              <w:left w:val="nil"/>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124,025,438 </w:t>
            </w:r>
          </w:p>
        </w:tc>
        <w:tc>
          <w:tcPr>
            <w:tcW w:w="2148" w:type="dxa"/>
            <w:tcBorders>
              <w:top w:val="nil"/>
              <w:left w:val="single" w:sz="4" w:space="0" w:color="auto"/>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108,066,474 </w:t>
            </w:r>
          </w:p>
        </w:tc>
      </w:tr>
      <w:tr w:rsidR="00E2301B" w:rsidRPr="002D70DA" w:rsidTr="0033436D">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tcPr>
          <w:p w:rsidR="00E2301B" w:rsidRPr="00D10083" w:rsidRDefault="00E2301B" w:rsidP="00E2301B">
            <w:pPr>
              <w:rPr>
                <w:rFonts w:ascii="Arial" w:hAnsi="Arial" w:cs="Arial"/>
                <w:bCs/>
                <w:color w:val="000000"/>
                <w:sz w:val="17"/>
                <w:szCs w:val="17"/>
              </w:rPr>
            </w:pPr>
            <w:r>
              <w:rPr>
                <w:rFonts w:ascii="Arial" w:hAnsi="Arial" w:cs="Arial"/>
                <w:bCs/>
                <w:color w:val="000000"/>
                <w:sz w:val="17"/>
                <w:szCs w:val="17"/>
              </w:rPr>
              <w:t>Construcciones en Proceso en Bienes de Dominio Público</w:t>
            </w:r>
          </w:p>
        </w:tc>
        <w:tc>
          <w:tcPr>
            <w:tcW w:w="2091" w:type="dxa"/>
            <w:tcBorders>
              <w:top w:val="single" w:sz="4" w:space="0" w:color="auto"/>
              <w:left w:val="nil"/>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1,261,480,648 </w:t>
            </w:r>
          </w:p>
        </w:tc>
        <w:tc>
          <w:tcPr>
            <w:tcW w:w="2148" w:type="dxa"/>
            <w:tcBorders>
              <w:top w:val="nil"/>
              <w:left w:val="single" w:sz="4" w:space="0" w:color="auto"/>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2,781,526,143 </w:t>
            </w:r>
          </w:p>
        </w:tc>
      </w:tr>
      <w:tr w:rsidR="00E2301B" w:rsidRPr="002D70DA" w:rsidTr="0033436D">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E2301B" w:rsidRPr="00D10083" w:rsidRDefault="00E2301B" w:rsidP="00E2301B">
            <w:pPr>
              <w:rPr>
                <w:rFonts w:ascii="Arial" w:hAnsi="Arial" w:cs="Arial"/>
                <w:bCs/>
                <w:color w:val="000000"/>
                <w:sz w:val="17"/>
                <w:szCs w:val="17"/>
              </w:rPr>
            </w:pPr>
            <w:r>
              <w:rPr>
                <w:rFonts w:ascii="Arial" w:hAnsi="Arial" w:cs="Arial"/>
                <w:bCs/>
                <w:color w:val="000000"/>
                <w:sz w:val="17"/>
                <w:szCs w:val="17"/>
              </w:rPr>
              <w:t>Construcciones en Proceso en Bienes Propios</w:t>
            </w:r>
          </w:p>
        </w:tc>
        <w:tc>
          <w:tcPr>
            <w:tcW w:w="2091" w:type="dxa"/>
            <w:tcBorders>
              <w:top w:val="single" w:sz="4" w:space="0" w:color="auto"/>
              <w:left w:val="nil"/>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114,416,576 </w:t>
            </w:r>
          </w:p>
        </w:tc>
        <w:tc>
          <w:tcPr>
            <w:tcW w:w="2148" w:type="dxa"/>
            <w:tcBorders>
              <w:top w:val="nil"/>
              <w:left w:val="single" w:sz="4" w:space="0" w:color="auto"/>
              <w:bottom w:val="single" w:sz="4" w:space="0" w:color="auto"/>
              <w:right w:val="single" w:sz="4" w:space="0" w:color="auto"/>
            </w:tcBorders>
            <w:shd w:val="clear" w:color="auto" w:fill="auto"/>
          </w:tcPr>
          <w:p w:rsidR="00E2301B" w:rsidRPr="00E03A09" w:rsidRDefault="00E2301B" w:rsidP="00E03A09">
            <w:pPr>
              <w:jc w:val="right"/>
              <w:rPr>
                <w:rFonts w:ascii="Arial" w:hAnsi="Arial" w:cs="Arial"/>
                <w:sz w:val="17"/>
                <w:szCs w:val="17"/>
              </w:rPr>
            </w:pPr>
            <w:r w:rsidRPr="00E03A09">
              <w:rPr>
                <w:rFonts w:ascii="Arial" w:hAnsi="Arial" w:cs="Arial"/>
                <w:sz w:val="17"/>
                <w:szCs w:val="17"/>
              </w:rPr>
              <w:t xml:space="preserve">119,240,105 </w:t>
            </w:r>
          </w:p>
        </w:tc>
      </w:tr>
      <w:tr w:rsidR="008918A4" w:rsidRPr="002D70DA" w:rsidTr="002A58E0">
        <w:trPr>
          <w:trHeight w:val="240"/>
          <w:jc w:val="center"/>
        </w:trPr>
        <w:tc>
          <w:tcPr>
            <w:tcW w:w="4743" w:type="dxa"/>
            <w:tcBorders>
              <w:top w:val="single" w:sz="4" w:space="0" w:color="auto"/>
              <w:right w:val="single" w:sz="4" w:space="0" w:color="auto"/>
            </w:tcBorders>
            <w:shd w:val="clear" w:color="auto" w:fill="auto"/>
            <w:vAlign w:val="center"/>
          </w:tcPr>
          <w:p w:rsidR="008918A4" w:rsidRPr="00F93CE5" w:rsidRDefault="008918A4" w:rsidP="004A62B7">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8918A4" w:rsidRPr="00C90054" w:rsidRDefault="00E03A09" w:rsidP="008918A4">
            <w:pPr>
              <w:jc w:val="right"/>
              <w:rPr>
                <w:rFonts w:ascii="Arial" w:hAnsi="Arial" w:cs="Arial"/>
                <w:b/>
                <w:bCs/>
                <w:color w:val="000000"/>
                <w:sz w:val="17"/>
                <w:szCs w:val="17"/>
              </w:rPr>
            </w:pPr>
            <w:r w:rsidRPr="00E03A09">
              <w:rPr>
                <w:rFonts w:ascii="Arial" w:hAnsi="Arial" w:cs="Arial"/>
                <w:b/>
                <w:bCs/>
                <w:color w:val="000000"/>
                <w:sz w:val="17"/>
                <w:szCs w:val="17"/>
              </w:rPr>
              <w:t>6,189,764,147</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18A4" w:rsidRPr="00C90054" w:rsidRDefault="00E03A09" w:rsidP="008918A4">
            <w:pPr>
              <w:jc w:val="right"/>
              <w:rPr>
                <w:rFonts w:ascii="Arial" w:hAnsi="Arial" w:cs="Arial"/>
                <w:b/>
                <w:bCs/>
                <w:color w:val="000000"/>
                <w:sz w:val="17"/>
                <w:szCs w:val="17"/>
              </w:rPr>
            </w:pPr>
            <w:r w:rsidRPr="00E03A09">
              <w:rPr>
                <w:rFonts w:ascii="Arial" w:hAnsi="Arial" w:cs="Arial"/>
                <w:b/>
                <w:bCs/>
                <w:color w:val="000000"/>
                <w:sz w:val="17"/>
                <w:szCs w:val="17"/>
              </w:rPr>
              <w:t>7,061,432,112</w:t>
            </w:r>
          </w:p>
        </w:tc>
      </w:tr>
    </w:tbl>
    <w:p w:rsidR="008918A4" w:rsidRDefault="008918A4" w:rsidP="008918A4">
      <w:pPr>
        <w:pStyle w:val="Prrafodelista"/>
        <w:spacing w:before="80" w:line="250" w:lineRule="exact"/>
        <w:jc w:val="both"/>
        <w:rPr>
          <w:rFonts w:ascii="Arial" w:eastAsia="Calibri" w:hAnsi="Arial" w:cs="Arial"/>
          <w:spacing w:val="-1"/>
          <w:sz w:val="17"/>
          <w:szCs w:val="17"/>
        </w:rPr>
      </w:pPr>
    </w:p>
    <w:p w:rsidR="00611EF3" w:rsidRDefault="00611EF3" w:rsidP="008918A4">
      <w:pPr>
        <w:pStyle w:val="Prrafodelista"/>
        <w:spacing w:before="80" w:line="250" w:lineRule="exact"/>
        <w:jc w:val="both"/>
        <w:rPr>
          <w:rFonts w:ascii="Arial" w:eastAsia="Calibri" w:hAnsi="Arial" w:cs="Arial"/>
          <w:spacing w:val="-1"/>
          <w:sz w:val="17"/>
          <w:szCs w:val="17"/>
        </w:rPr>
      </w:pPr>
    </w:p>
    <w:p w:rsidR="00611EF3" w:rsidRDefault="0024672E" w:rsidP="00C9098B">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Destaca la reducción realizada</w:t>
      </w:r>
      <w:r w:rsidR="00611EF3">
        <w:rPr>
          <w:rFonts w:ascii="Arial" w:eastAsia="Calibri" w:hAnsi="Arial" w:cs="Arial"/>
          <w:spacing w:val="-1"/>
          <w:sz w:val="17"/>
          <w:szCs w:val="17"/>
        </w:rPr>
        <w:t xml:space="preserve"> en el ejercicio 2016 por un importe de</w:t>
      </w:r>
      <w:r>
        <w:rPr>
          <w:rFonts w:ascii="Arial" w:eastAsia="Calibri" w:hAnsi="Arial" w:cs="Arial"/>
          <w:spacing w:val="-1"/>
          <w:sz w:val="17"/>
          <w:szCs w:val="17"/>
        </w:rPr>
        <w:t xml:space="preserve"> </w:t>
      </w:r>
      <w:r w:rsidRPr="0024672E">
        <w:rPr>
          <w:rFonts w:ascii="Arial" w:hAnsi="Arial" w:cs="Arial"/>
          <w:sz w:val="17"/>
          <w:szCs w:val="17"/>
        </w:rPr>
        <w:t>1,967,958,364</w:t>
      </w:r>
      <w:r>
        <w:rPr>
          <w:rFonts w:ascii="Arial" w:hAnsi="Arial" w:cs="Arial"/>
          <w:sz w:val="17"/>
          <w:szCs w:val="17"/>
        </w:rPr>
        <w:t xml:space="preserve">, integrándose ésta por </w:t>
      </w:r>
      <w:r w:rsidRPr="008B2E49">
        <w:rPr>
          <w:rFonts w:ascii="Arial" w:hAnsi="Arial" w:cs="Arial"/>
          <w:sz w:val="17"/>
          <w:szCs w:val="17"/>
        </w:rPr>
        <w:t xml:space="preserve">865,342,700 </w:t>
      </w:r>
      <w:r>
        <w:rPr>
          <w:rFonts w:ascii="Arial" w:hAnsi="Arial" w:cs="Arial"/>
          <w:sz w:val="17"/>
          <w:szCs w:val="17"/>
        </w:rPr>
        <w:t>correspondiendo a la depuración de obr</w:t>
      </w:r>
      <w:r w:rsidR="00376693">
        <w:rPr>
          <w:rFonts w:ascii="Arial" w:hAnsi="Arial" w:cs="Arial"/>
          <w:sz w:val="17"/>
          <w:szCs w:val="17"/>
        </w:rPr>
        <w:t xml:space="preserve">as en proceso no capitalizables </w:t>
      </w:r>
      <w:r>
        <w:rPr>
          <w:rFonts w:ascii="Arial" w:hAnsi="Arial" w:cs="Arial"/>
          <w:sz w:val="17"/>
          <w:szCs w:val="17"/>
        </w:rPr>
        <w:t xml:space="preserve">registradas y concluidas en ejercicios anteriores y que en su momento no fueron llevadas al gasto del ejercicio respectivo; por otra parte, se contempla la reducción por </w:t>
      </w:r>
      <w:r w:rsidR="00611EF3">
        <w:rPr>
          <w:rFonts w:ascii="Arial" w:eastAsia="Calibri" w:hAnsi="Arial" w:cs="Arial"/>
          <w:spacing w:val="-1"/>
          <w:sz w:val="17"/>
          <w:szCs w:val="17"/>
        </w:rPr>
        <w:t>1,102,615,664 derivado del análisis efectuado en co</w:t>
      </w:r>
      <w:r>
        <w:rPr>
          <w:rFonts w:ascii="Arial" w:eastAsia="Calibri" w:hAnsi="Arial" w:cs="Arial"/>
          <w:spacing w:val="-1"/>
          <w:sz w:val="17"/>
          <w:szCs w:val="17"/>
        </w:rPr>
        <w:t xml:space="preserve">njunto con la auditoría externa, </w:t>
      </w:r>
      <w:r w:rsidR="00C9098B">
        <w:rPr>
          <w:rFonts w:ascii="Arial" w:eastAsia="Calibri" w:hAnsi="Arial" w:cs="Arial"/>
          <w:spacing w:val="-1"/>
          <w:sz w:val="17"/>
          <w:szCs w:val="17"/>
        </w:rPr>
        <w:t>debido principalmente a</w:t>
      </w:r>
      <w:r>
        <w:rPr>
          <w:rFonts w:ascii="Arial" w:eastAsia="Calibri" w:hAnsi="Arial" w:cs="Arial"/>
          <w:spacing w:val="-1"/>
          <w:sz w:val="17"/>
          <w:szCs w:val="17"/>
        </w:rPr>
        <w:t xml:space="preserve"> gasto</w:t>
      </w:r>
      <w:r w:rsidR="00C9098B">
        <w:rPr>
          <w:rFonts w:ascii="Arial" w:eastAsia="Calibri" w:hAnsi="Arial" w:cs="Arial"/>
          <w:spacing w:val="-1"/>
          <w:sz w:val="17"/>
          <w:szCs w:val="17"/>
        </w:rPr>
        <w:t>s</w:t>
      </w:r>
      <w:r>
        <w:rPr>
          <w:rFonts w:ascii="Arial" w:eastAsia="Calibri" w:hAnsi="Arial" w:cs="Arial"/>
          <w:spacing w:val="-1"/>
          <w:sz w:val="17"/>
          <w:szCs w:val="17"/>
        </w:rPr>
        <w:t xml:space="preserve"> de operación de ejercicios anteriores  que en su momento fue</w:t>
      </w:r>
      <w:r w:rsidR="00C9098B">
        <w:rPr>
          <w:rFonts w:ascii="Arial" w:eastAsia="Calibri" w:hAnsi="Arial" w:cs="Arial"/>
          <w:spacing w:val="-1"/>
          <w:sz w:val="17"/>
          <w:szCs w:val="17"/>
        </w:rPr>
        <w:t>ron</w:t>
      </w:r>
      <w:r>
        <w:rPr>
          <w:rFonts w:ascii="Arial" w:eastAsia="Calibri" w:hAnsi="Arial" w:cs="Arial"/>
          <w:spacing w:val="-1"/>
          <w:sz w:val="17"/>
          <w:szCs w:val="17"/>
        </w:rPr>
        <w:t xml:space="preserve"> registrado</w:t>
      </w:r>
      <w:r w:rsidR="00C9098B">
        <w:rPr>
          <w:rFonts w:ascii="Arial" w:eastAsia="Calibri" w:hAnsi="Arial" w:cs="Arial"/>
          <w:spacing w:val="-1"/>
          <w:sz w:val="17"/>
          <w:szCs w:val="17"/>
        </w:rPr>
        <w:t>s como activo.</w:t>
      </w:r>
      <w:r>
        <w:rPr>
          <w:rFonts w:ascii="Arial" w:eastAsia="Calibri" w:hAnsi="Arial" w:cs="Arial"/>
          <w:spacing w:val="-1"/>
          <w:sz w:val="17"/>
          <w:szCs w:val="17"/>
        </w:rPr>
        <w:t xml:space="preserve"> </w:t>
      </w:r>
      <w:r w:rsidR="00C9098B">
        <w:rPr>
          <w:rFonts w:ascii="Arial" w:eastAsia="Calibri" w:hAnsi="Arial" w:cs="Arial"/>
          <w:spacing w:val="-1"/>
          <w:sz w:val="17"/>
          <w:szCs w:val="17"/>
        </w:rPr>
        <w:t>S</w:t>
      </w:r>
      <w:r>
        <w:rPr>
          <w:rFonts w:ascii="Arial" w:eastAsia="Calibri" w:hAnsi="Arial" w:cs="Arial"/>
          <w:spacing w:val="-1"/>
          <w:sz w:val="17"/>
          <w:szCs w:val="17"/>
        </w:rPr>
        <w:t>e reproduce el señalamiento del auditor externo:</w:t>
      </w:r>
    </w:p>
    <w:p w:rsidR="00611EF3" w:rsidRPr="009327EB" w:rsidRDefault="00611EF3" w:rsidP="00611EF3">
      <w:pPr>
        <w:spacing w:before="80" w:line="250" w:lineRule="exact"/>
        <w:ind w:left="1134" w:right="814"/>
        <w:jc w:val="both"/>
        <w:rPr>
          <w:rFonts w:ascii="Arial" w:eastAsia="Calibri" w:hAnsi="Arial" w:cs="Arial"/>
          <w:i/>
          <w:spacing w:val="-1"/>
          <w:sz w:val="16"/>
          <w:szCs w:val="16"/>
        </w:rPr>
      </w:pPr>
      <w:r w:rsidRPr="009327EB">
        <w:rPr>
          <w:rFonts w:ascii="Arial" w:eastAsia="Calibri" w:hAnsi="Arial" w:cs="Arial"/>
          <w:i/>
          <w:spacing w:val="-1"/>
          <w:sz w:val="16"/>
          <w:szCs w:val="16"/>
        </w:rPr>
        <w:t>“Con posterioridad al cierre del ejercicio se concluyó un análisis del saldo del rubro “Bienes Inmuebles, Infraestructura y Construcciones en Proceso”, en específico las cuentas 12350 Construcciones en proceso en bienes de dominio público y 12360 Construcciones en proceso en bienes propios, que se presenta en el estado de situación financiera al 31 de diciembre de 2015 y se identificó que en dichas cuentas se registraron erogaciones que no corresponden a obras en proceso y que deberían haberse registrado en el estado de actividades por 1,102,615,664, con una consecuente disminución al saldo de “Hacienda Pública Generada”, dichos efectos fueron registrados en octubre de 20</w:t>
      </w:r>
      <w:r>
        <w:rPr>
          <w:rFonts w:ascii="Arial" w:eastAsia="Calibri" w:hAnsi="Arial" w:cs="Arial"/>
          <w:i/>
          <w:spacing w:val="-1"/>
          <w:sz w:val="16"/>
          <w:szCs w:val="16"/>
        </w:rPr>
        <w:t>1</w:t>
      </w:r>
      <w:r w:rsidRPr="009327EB">
        <w:rPr>
          <w:rFonts w:ascii="Arial" w:eastAsia="Calibri" w:hAnsi="Arial" w:cs="Arial"/>
          <w:i/>
          <w:spacing w:val="-1"/>
          <w:sz w:val="16"/>
          <w:szCs w:val="16"/>
        </w:rPr>
        <w:t>6.”</w:t>
      </w:r>
    </w:p>
    <w:p w:rsidR="00611EF3" w:rsidRDefault="00611EF3" w:rsidP="008918A4">
      <w:pPr>
        <w:pStyle w:val="Prrafodelista"/>
        <w:spacing w:before="80" w:line="250" w:lineRule="exact"/>
        <w:jc w:val="both"/>
        <w:rPr>
          <w:rFonts w:ascii="Arial" w:eastAsia="Calibri" w:hAnsi="Arial" w:cs="Arial"/>
          <w:spacing w:val="-1"/>
          <w:sz w:val="17"/>
          <w:szCs w:val="17"/>
        </w:rPr>
      </w:pPr>
    </w:p>
    <w:p w:rsidR="003A5A84" w:rsidRDefault="00E27F5F" w:rsidP="003A5A84">
      <w:pPr>
        <w:pStyle w:val="Prrafodelista"/>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A su vez, esta cuenta se incrementa derivado del proceso del reconocimiento de revalúo por 671,048,588, así como por la incorporación de nuevas obras que se encuentran en proceso al cierre del ejercicio.</w:t>
      </w:r>
    </w:p>
    <w:p w:rsidR="003A5A84" w:rsidRDefault="003A5A84">
      <w:pPr>
        <w:rPr>
          <w:rFonts w:ascii="Arial" w:eastAsia="Calibri" w:hAnsi="Arial" w:cs="Arial"/>
          <w:spacing w:val="-1"/>
          <w:sz w:val="17"/>
          <w:szCs w:val="17"/>
        </w:rPr>
      </w:pPr>
    </w:p>
    <w:p w:rsidR="00611EF3" w:rsidRDefault="00611EF3" w:rsidP="00611EF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la integración del aumento por </w:t>
      </w:r>
      <w:r w:rsidRPr="00A52C8F">
        <w:rPr>
          <w:rFonts w:ascii="Arial" w:eastAsia="Calibri" w:hAnsi="Arial" w:cs="Arial"/>
          <w:spacing w:val="-1"/>
          <w:sz w:val="17"/>
          <w:szCs w:val="17"/>
        </w:rPr>
        <w:t>355,566,525</w:t>
      </w:r>
      <w:r>
        <w:rPr>
          <w:rFonts w:ascii="Arial" w:eastAsia="Calibri" w:hAnsi="Arial" w:cs="Arial"/>
          <w:spacing w:val="-1"/>
          <w:sz w:val="17"/>
          <w:szCs w:val="17"/>
        </w:rPr>
        <w:t xml:space="preserve"> en la cuenta de Terrenos con respecto al ejercicio 2015:</w:t>
      </w:r>
    </w:p>
    <w:p w:rsidR="003A5A84" w:rsidRPr="005540CE" w:rsidRDefault="003A5A84" w:rsidP="003A5A84">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611EF3" w:rsidRPr="002D70DA" w:rsidTr="00611EF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11EF3" w:rsidRPr="002D70DA" w:rsidRDefault="00611EF3" w:rsidP="00611EF3">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11EF3" w:rsidRPr="002D70DA" w:rsidRDefault="00611EF3" w:rsidP="00611EF3">
            <w:pPr>
              <w:jc w:val="center"/>
              <w:rPr>
                <w:rFonts w:ascii="Arial" w:hAnsi="Arial" w:cs="Arial"/>
                <w:b/>
                <w:bCs/>
                <w:color w:val="000000"/>
                <w:sz w:val="17"/>
                <w:szCs w:val="17"/>
              </w:rPr>
            </w:pPr>
            <w:r>
              <w:rPr>
                <w:rFonts w:ascii="Arial" w:hAnsi="Arial" w:cs="Arial"/>
                <w:b/>
                <w:bCs/>
                <w:color w:val="000000"/>
                <w:sz w:val="17"/>
                <w:szCs w:val="17"/>
              </w:rPr>
              <w:t>Monto</w:t>
            </w:r>
          </w:p>
        </w:tc>
      </w:tr>
      <w:tr w:rsidR="00611EF3" w:rsidRPr="002D70DA" w:rsidTr="00611EF3">
        <w:trPr>
          <w:trHeight w:val="133"/>
          <w:jc w:val="center"/>
        </w:trPr>
        <w:tc>
          <w:tcPr>
            <w:tcW w:w="4900" w:type="dxa"/>
            <w:tcBorders>
              <w:top w:val="nil"/>
              <w:left w:val="single" w:sz="4" w:space="0" w:color="auto"/>
              <w:bottom w:val="single" w:sz="4" w:space="0" w:color="auto"/>
              <w:right w:val="single" w:sz="4" w:space="0" w:color="auto"/>
            </w:tcBorders>
            <w:shd w:val="clear" w:color="auto" w:fill="auto"/>
          </w:tcPr>
          <w:p w:rsidR="00611EF3" w:rsidRPr="00A52C8F" w:rsidRDefault="00611EF3" w:rsidP="00611EF3">
            <w:pPr>
              <w:rPr>
                <w:rFonts w:ascii="Arial" w:hAnsi="Arial" w:cs="Arial"/>
                <w:sz w:val="17"/>
                <w:szCs w:val="17"/>
              </w:rPr>
            </w:pPr>
            <w:r w:rsidRPr="00A52C8F">
              <w:rPr>
                <w:rFonts w:ascii="Arial" w:hAnsi="Arial" w:cs="Arial"/>
                <w:sz w:val="17"/>
                <w:szCs w:val="17"/>
              </w:rPr>
              <w:t>Incorporacion</w:t>
            </w:r>
            <w:r>
              <w:rPr>
                <w:rFonts w:ascii="Arial" w:hAnsi="Arial" w:cs="Arial"/>
                <w:sz w:val="17"/>
                <w:szCs w:val="17"/>
              </w:rPr>
              <w:t>es</w:t>
            </w:r>
          </w:p>
        </w:tc>
        <w:tc>
          <w:tcPr>
            <w:tcW w:w="2180" w:type="dxa"/>
            <w:tcBorders>
              <w:top w:val="nil"/>
              <w:left w:val="nil"/>
              <w:bottom w:val="single" w:sz="4" w:space="0" w:color="auto"/>
              <w:right w:val="single" w:sz="4" w:space="0" w:color="auto"/>
            </w:tcBorders>
            <w:shd w:val="clear" w:color="auto" w:fill="auto"/>
            <w:hideMark/>
          </w:tcPr>
          <w:p w:rsidR="00611EF3" w:rsidRPr="00A52C8F" w:rsidRDefault="00611EF3" w:rsidP="00611EF3">
            <w:pPr>
              <w:jc w:val="right"/>
              <w:rPr>
                <w:rFonts w:ascii="Arial" w:hAnsi="Arial" w:cs="Arial"/>
                <w:sz w:val="17"/>
                <w:szCs w:val="17"/>
              </w:rPr>
            </w:pPr>
            <w:r w:rsidRPr="00A52C8F">
              <w:rPr>
                <w:rFonts w:ascii="Arial" w:hAnsi="Arial" w:cs="Arial"/>
                <w:sz w:val="17"/>
                <w:szCs w:val="17"/>
              </w:rPr>
              <w:t xml:space="preserve">6,189,709 </w:t>
            </w:r>
          </w:p>
        </w:tc>
      </w:tr>
      <w:tr w:rsidR="00611EF3" w:rsidRPr="002D70DA" w:rsidTr="00611EF3">
        <w:trPr>
          <w:trHeight w:val="207"/>
          <w:jc w:val="center"/>
        </w:trPr>
        <w:tc>
          <w:tcPr>
            <w:tcW w:w="4900" w:type="dxa"/>
            <w:tcBorders>
              <w:top w:val="nil"/>
              <w:left w:val="single" w:sz="4" w:space="0" w:color="auto"/>
              <w:bottom w:val="single" w:sz="4" w:space="0" w:color="auto"/>
              <w:right w:val="single" w:sz="4" w:space="0" w:color="auto"/>
            </w:tcBorders>
            <w:shd w:val="clear" w:color="auto" w:fill="auto"/>
          </w:tcPr>
          <w:p w:rsidR="00611EF3" w:rsidRPr="00A52C8F" w:rsidRDefault="00611EF3" w:rsidP="00611EF3">
            <w:pPr>
              <w:rPr>
                <w:rFonts w:ascii="Arial" w:hAnsi="Arial" w:cs="Arial"/>
                <w:sz w:val="17"/>
                <w:szCs w:val="17"/>
              </w:rPr>
            </w:pPr>
            <w:r w:rsidRPr="00A52C8F">
              <w:rPr>
                <w:rFonts w:ascii="Arial" w:hAnsi="Arial" w:cs="Arial"/>
                <w:sz w:val="17"/>
                <w:szCs w:val="17"/>
              </w:rPr>
              <w:t>Actualización de valor</w:t>
            </w:r>
          </w:p>
        </w:tc>
        <w:tc>
          <w:tcPr>
            <w:tcW w:w="2180" w:type="dxa"/>
            <w:tcBorders>
              <w:top w:val="nil"/>
              <w:left w:val="nil"/>
              <w:bottom w:val="single" w:sz="4" w:space="0" w:color="auto"/>
              <w:right w:val="single" w:sz="4" w:space="0" w:color="auto"/>
            </w:tcBorders>
            <w:shd w:val="clear" w:color="auto" w:fill="auto"/>
            <w:hideMark/>
          </w:tcPr>
          <w:p w:rsidR="00611EF3" w:rsidRPr="00A52C8F" w:rsidRDefault="00611EF3" w:rsidP="00611EF3">
            <w:pPr>
              <w:jc w:val="right"/>
              <w:rPr>
                <w:rFonts w:ascii="Arial" w:hAnsi="Arial" w:cs="Arial"/>
                <w:sz w:val="17"/>
                <w:szCs w:val="17"/>
              </w:rPr>
            </w:pPr>
            <w:r w:rsidRPr="004F0829">
              <w:rPr>
                <w:rFonts w:ascii="Arial" w:hAnsi="Arial" w:cs="Arial"/>
                <w:sz w:val="17"/>
                <w:szCs w:val="17"/>
              </w:rPr>
              <w:t>383,646,305</w:t>
            </w:r>
          </w:p>
        </w:tc>
      </w:tr>
      <w:tr w:rsidR="00611EF3" w:rsidRPr="002D70DA" w:rsidTr="00611EF3">
        <w:trPr>
          <w:trHeight w:val="207"/>
          <w:jc w:val="center"/>
        </w:trPr>
        <w:tc>
          <w:tcPr>
            <w:tcW w:w="4900" w:type="dxa"/>
            <w:tcBorders>
              <w:top w:val="nil"/>
              <w:left w:val="single" w:sz="4" w:space="0" w:color="auto"/>
              <w:bottom w:val="single" w:sz="4" w:space="0" w:color="auto"/>
              <w:right w:val="single" w:sz="4" w:space="0" w:color="auto"/>
            </w:tcBorders>
            <w:shd w:val="clear" w:color="auto" w:fill="auto"/>
          </w:tcPr>
          <w:p w:rsidR="00611EF3" w:rsidRPr="00A52C8F" w:rsidRDefault="00611EF3" w:rsidP="00611EF3">
            <w:pPr>
              <w:rPr>
                <w:rFonts w:ascii="Arial" w:hAnsi="Arial" w:cs="Arial"/>
                <w:sz w:val="17"/>
                <w:szCs w:val="17"/>
              </w:rPr>
            </w:pPr>
            <w:r w:rsidRPr="00A52C8F">
              <w:rPr>
                <w:rFonts w:ascii="Arial" w:hAnsi="Arial" w:cs="Arial"/>
                <w:sz w:val="17"/>
                <w:szCs w:val="17"/>
              </w:rPr>
              <w:t>Reclasificaciones</w:t>
            </w:r>
          </w:p>
        </w:tc>
        <w:tc>
          <w:tcPr>
            <w:tcW w:w="2180" w:type="dxa"/>
            <w:tcBorders>
              <w:top w:val="nil"/>
              <w:left w:val="nil"/>
              <w:bottom w:val="single" w:sz="4" w:space="0" w:color="auto"/>
              <w:right w:val="single" w:sz="4" w:space="0" w:color="auto"/>
            </w:tcBorders>
            <w:shd w:val="clear" w:color="auto" w:fill="auto"/>
          </w:tcPr>
          <w:p w:rsidR="00611EF3" w:rsidRPr="00A52C8F" w:rsidRDefault="00611EF3" w:rsidP="00611EF3">
            <w:pPr>
              <w:jc w:val="right"/>
              <w:rPr>
                <w:rFonts w:ascii="Arial" w:hAnsi="Arial" w:cs="Arial"/>
                <w:sz w:val="17"/>
                <w:szCs w:val="17"/>
              </w:rPr>
            </w:pPr>
            <w:r w:rsidRPr="00A52C8F">
              <w:rPr>
                <w:rFonts w:ascii="Arial" w:hAnsi="Arial" w:cs="Arial"/>
                <w:sz w:val="17"/>
                <w:szCs w:val="17"/>
              </w:rPr>
              <w:t xml:space="preserve">-9,537,063 </w:t>
            </w:r>
          </w:p>
        </w:tc>
      </w:tr>
      <w:tr w:rsidR="00611EF3" w:rsidRPr="002D70DA" w:rsidTr="00611EF3">
        <w:trPr>
          <w:trHeight w:val="207"/>
          <w:jc w:val="center"/>
        </w:trPr>
        <w:tc>
          <w:tcPr>
            <w:tcW w:w="4900" w:type="dxa"/>
            <w:tcBorders>
              <w:top w:val="nil"/>
              <w:left w:val="single" w:sz="4" w:space="0" w:color="auto"/>
              <w:bottom w:val="single" w:sz="4" w:space="0" w:color="auto"/>
              <w:right w:val="single" w:sz="4" w:space="0" w:color="auto"/>
            </w:tcBorders>
            <w:shd w:val="clear" w:color="auto" w:fill="auto"/>
          </w:tcPr>
          <w:p w:rsidR="00611EF3" w:rsidRPr="00A52C8F" w:rsidRDefault="00611EF3" w:rsidP="00611EF3">
            <w:pPr>
              <w:rPr>
                <w:rFonts w:ascii="Arial" w:hAnsi="Arial" w:cs="Arial"/>
                <w:sz w:val="17"/>
                <w:szCs w:val="17"/>
              </w:rPr>
            </w:pPr>
            <w:r w:rsidRPr="00A52C8F">
              <w:rPr>
                <w:rFonts w:ascii="Arial" w:hAnsi="Arial" w:cs="Arial"/>
                <w:sz w:val="17"/>
                <w:szCs w:val="17"/>
              </w:rPr>
              <w:t>Ajuste de registro</w:t>
            </w:r>
          </w:p>
        </w:tc>
        <w:tc>
          <w:tcPr>
            <w:tcW w:w="2180" w:type="dxa"/>
            <w:tcBorders>
              <w:top w:val="nil"/>
              <w:left w:val="nil"/>
              <w:bottom w:val="single" w:sz="4" w:space="0" w:color="auto"/>
              <w:right w:val="single" w:sz="4" w:space="0" w:color="auto"/>
            </w:tcBorders>
            <w:shd w:val="clear" w:color="auto" w:fill="auto"/>
          </w:tcPr>
          <w:p w:rsidR="00611EF3" w:rsidRPr="00A52C8F" w:rsidRDefault="00611EF3" w:rsidP="00611EF3">
            <w:pPr>
              <w:jc w:val="right"/>
              <w:rPr>
                <w:rFonts w:ascii="Arial" w:hAnsi="Arial" w:cs="Arial"/>
                <w:sz w:val="17"/>
                <w:szCs w:val="17"/>
              </w:rPr>
            </w:pPr>
            <w:r w:rsidRPr="00A52C8F">
              <w:rPr>
                <w:rFonts w:ascii="Arial" w:hAnsi="Arial" w:cs="Arial"/>
                <w:sz w:val="17"/>
                <w:szCs w:val="17"/>
              </w:rPr>
              <w:t xml:space="preserve">-19,615,245 </w:t>
            </w:r>
          </w:p>
        </w:tc>
      </w:tr>
      <w:tr w:rsidR="00611EF3" w:rsidRPr="002D70DA" w:rsidTr="00611EF3">
        <w:trPr>
          <w:trHeight w:val="139"/>
          <w:jc w:val="center"/>
        </w:trPr>
        <w:tc>
          <w:tcPr>
            <w:tcW w:w="4900" w:type="dxa"/>
            <w:tcBorders>
              <w:top w:val="nil"/>
              <w:left w:val="single" w:sz="4" w:space="0" w:color="auto"/>
              <w:bottom w:val="single" w:sz="4" w:space="0" w:color="auto"/>
              <w:right w:val="single" w:sz="4" w:space="0" w:color="auto"/>
            </w:tcBorders>
            <w:shd w:val="clear" w:color="auto" w:fill="auto"/>
          </w:tcPr>
          <w:p w:rsidR="00611EF3" w:rsidRPr="00A52C8F" w:rsidRDefault="00611EF3" w:rsidP="00611EF3">
            <w:pPr>
              <w:rPr>
                <w:rFonts w:ascii="Arial" w:hAnsi="Arial" w:cs="Arial"/>
                <w:sz w:val="17"/>
                <w:szCs w:val="17"/>
              </w:rPr>
            </w:pPr>
            <w:r>
              <w:rPr>
                <w:rFonts w:ascii="Arial" w:hAnsi="Arial" w:cs="Arial"/>
                <w:sz w:val="17"/>
                <w:szCs w:val="17"/>
              </w:rPr>
              <w:t>Desincorporaciones</w:t>
            </w:r>
          </w:p>
        </w:tc>
        <w:tc>
          <w:tcPr>
            <w:tcW w:w="2180" w:type="dxa"/>
            <w:tcBorders>
              <w:top w:val="nil"/>
              <w:left w:val="nil"/>
              <w:bottom w:val="single" w:sz="4" w:space="0" w:color="auto"/>
              <w:right w:val="single" w:sz="4" w:space="0" w:color="auto"/>
            </w:tcBorders>
            <w:shd w:val="clear" w:color="auto" w:fill="auto"/>
            <w:hideMark/>
          </w:tcPr>
          <w:p w:rsidR="00611EF3" w:rsidRPr="00A52C8F" w:rsidRDefault="00611EF3" w:rsidP="00611EF3">
            <w:pPr>
              <w:jc w:val="right"/>
              <w:rPr>
                <w:rFonts w:ascii="Arial" w:hAnsi="Arial" w:cs="Arial"/>
                <w:sz w:val="17"/>
                <w:szCs w:val="17"/>
              </w:rPr>
            </w:pPr>
            <w:r w:rsidRPr="004F0829">
              <w:rPr>
                <w:rFonts w:ascii="Arial" w:hAnsi="Arial" w:cs="Arial"/>
                <w:sz w:val="17"/>
                <w:szCs w:val="17"/>
              </w:rPr>
              <w:t>-5,117,181</w:t>
            </w:r>
          </w:p>
        </w:tc>
      </w:tr>
      <w:tr w:rsidR="00611EF3" w:rsidRPr="002D70DA" w:rsidTr="00611EF3">
        <w:trPr>
          <w:trHeight w:val="240"/>
          <w:jc w:val="center"/>
        </w:trPr>
        <w:tc>
          <w:tcPr>
            <w:tcW w:w="4900" w:type="dxa"/>
            <w:tcBorders>
              <w:top w:val="nil"/>
              <w:left w:val="nil"/>
              <w:bottom w:val="nil"/>
              <w:right w:val="nil"/>
            </w:tcBorders>
            <w:shd w:val="clear" w:color="000000" w:fill="FFFFFF"/>
            <w:vAlign w:val="center"/>
            <w:hideMark/>
          </w:tcPr>
          <w:p w:rsidR="00611EF3" w:rsidRPr="002D70DA" w:rsidRDefault="00611EF3" w:rsidP="00611E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11EF3" w:rsidRPr="002D70DA" w:rsidRDefault="00611EF3" w:rsidP="00611EF3">
            <w:pPr>
              <w:jc w:val="right"/>
              <w:rPr>
                <w:rFonts w:ascii="Arial" w:hAnsi="Arial" w:cs="Arial"/>
                <w:b/>
                <w:bCs/>
                <w:color w:val="000000"/>
                <w:sz w:val="17"/>
                <w:szCs w:val="17"/>
              </w:rPr>
            </w:pPr>
            <w:r w:rsidRPr="00A52C8F">
              <w:rPr>
                <w:rFonts w:ascii="Arial" w:hAnsi="Arial" w:cs="Arial"/>
                <w:b/>
                <w:bCs/>
                <w:color w:val="000000"/>
                <w:sz w:val="17"/>
                <w:szCs w:val="17"/>
                <w14:numForm w14:val="lining"/>
              </w:rPr>
              <w:t>355,566,525</w:t>
            </w:r>
          </w:p>
        </w:tc>
      </w:tr>
    </w:tbl>
    <w:p w:rsidR="00611EF3" w:rsidRDefault="00611EF3" w:rsidP="008D31C1">
      <w:pPr>
        <w:spacing w:before="80" w:line="250" w:lineRule="exact"/>
        <w:ind w:left="709"/>
        <w:jc w:val="both"/>
        <w:rPr>
          <w:rFonts w:ascii="Arial" w:eastAsia="Calibri" w:hAnsi="Arial" w:cs="Arial"/>
          <w:spacing w:val="-1"/>
          <w:sz w:val="17"/>
          <w:szCs w:val="17"/>
        </w:rPr>
      </w:pPr>
    </w:p>
    <w:p w:rsidR="00E771F3" w:rsidRPr="002D70DA" w:rsidRDefault="00E771F3" w:rsidP="008D31C1">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8" w:type="pct"/>
        <w:tblInd w:w="-10" w:type="dxa"/>
        <w:tblCellMar>
          <w:left w:w="70" w:type="dxa"/>
          <w:right w:w="70" w:type="dxa"/>
        </w:tblCellMar>
        <w:tblLook w:val="04A0" w:firstRow="1" w:lastRow="0" w:firstColumn="1" w:lastColumn="0" w:noHBand="0" w:noVBand="1"/>
      </w:tblPr>
      <w:tblGrid>
        <w:gridCol w:w="3045"/>
        <w:gridCol w:w="1447"/>
        <w:gridCol w:w="1447"/>
        <w:gridCol w:w="1447"/>
        <w:gridCol w:w="1141"/>
        <w:gridCol w:w="1269"/>
        <w:gridCol w:w="1769"/>
        <w:gridCol w:w="21"/>
        <w:gridCol w:w="1713"/>
      </w:tblGrid>
      <w:tr w:rsidR="00CF62AC" w:rsidRPr="002D70DA" w:rsidTr="008D31C1">
        <w:trPr>
          <w:trHeight w:val="299"/>
        </w:trPr>
        <w:tc>
          <w:tcPr>
            <w:tcW w:w="114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CF62AC"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CF62AC"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CF62AC"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44" w:type="pct"/>
            <w:vMerge w:val="restart"/>
            <w:tcBorders>
              <w:top w:val="single" w:sz="4" w:space="0" w:color="auto"/>
              <w:left w:val="nil"/>
              <w:right w:val="single" w:sz="4" w:space="0" w:color="auto"/>
            </w:tcBorders>
            <w:shd w:val="clear" w:color="auto" w:fill="D5DCE4" w:themeFill="text2" w:themeFillTint="33"/>
            <w:vAlign w:val="center"/>
            <w:hideMark/>
          </w:tcPr>
          <w:p w:rsidR="00CF62AC"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29" w:type="pct"/>
            <w:vMerge w:val="restart"/>
            <w:tcBorders>
              <w:top w:val="single" w:sz="4" w:space="0" w:color="auto"/>
              <w:left w:val="nil"/>
              <w:right w:val="single" w:sz="4" w:space="0" w:color="auto"/>
            </w:tcBorders>
            <w:shd w:val="clear" w:color="auto" w:fill="D5DCE4" w:themeFill="text2" w:themeFillTint="33"/>
            <w:vAlign w:val="center"/>
            <w:hideMark/>
          </w:tcPr>
          <w:p w:rsidR="00CF62AC"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477" w:type="pct"/>
            <w:vMerge w:val="restart"/>
            <w:tcBorders>
              <w:top w:val="single" w:sz="4" w:space="0" w:color="auto"/>
              <w:left w:val="nil"/>
              <w:right w:val="single" w:sz="4" w:space="0" w:color="auto"/>
            </w:tcBorders>
            <w:shd w:val="clear" w:color="auto" w:fill="D5DCE4" w:themeFill="text2" w:themeFillTint="33"/>
            <w:vAlign w:val="center"/>
            <w:hideMark/>
          </w:tcPr>
          <w:p w:rsidR="00CF62AC"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1317" w:type="pct"/>
            <w:gridSpan w:val="3"/>
            <w:tcBorders>
              <w:top w:val="single" w:sz="4" w:space="0" w:color="auto"/>
              <w:left w:val="nil"/>
              <w:bottom w:val="single" w:sz="4" w:space="0" w:color="auto"/>
              <w:right w:val="single" w:sz="4" w:space="0" w:color="auto"/>
            </w:tcBorders>
            <w:shd w:val="clear" w:color="auto" w:fill="D5DCE4" w:themeFill="text2" w:themeFillTint="33"/>
          </w:tcPr>
          <w:p w:rsidR="00CF62AC"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CF62AC" w:rsidRPr="002D70DA" w:rsidTr="00932DF9">
        <w:trPr>
          <w:trHeight w:val="299"/>
        </w:trPr>
        <w:tc>
          <w:tcPr>
            <w:tcW w:w="1145" w:type="pct"/>
            <w:vMerge/>
            <w:tcBorders>
              <w:left w:val="single" w:sz="4" w:space="0" w:color="auto"/>
              <w:bottom w:val="single" w:sz="4" w:space="0" w:color="auto"/>
              <w:right w:val="single" w:sz="4" w:space="0" w:color="auto"/>
            </w:tcBorders>
            <w:shd w:val="clear" w:color="000000" w:fill="F2F2F2"/>
            <w:vAlign w:val="center"/>
          </w:tcPr>
          <w:p w:rsidR="00CF62AC" w:rsidRPr="002D70DA" w:rsidRDefault="00CF62AC" w:rsidP="00CF62AC">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CF62AC" w:rsidRPr="002D70DA" w:rsidRDefault="00CF62AC" w:rsidP="00CF62AC">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CF62AC" w:rsidRPr="002D70DA" w:rsidRDefault="00CF62AC" w:rsidP="00CF62AC">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CF62AC" w:rsidRPr="002D70DA" w:rsidRDefault="00CF62AC" w:rsidP="00CF62AC">
            <w:pPr>
              <w:jc w:val="center"/>
              <w:rPr>
                <w:rFonts w:ascii="Arial" w:hAnsi="Arial" w:cs="Arial"/>
                <w:b/>
                <w:bCs/>
                <w:color w:val="000000"/>
                <w:sz w:val="17"/>
                <w:szCs w:val="17"/>
              </w:rPr>
            </w:pPr>
          </w:p>
        </w:tc>
        <w:tc>
          <w:tcPr>
            <w:tcW w:w="429" w:type="pct"/>
            <w:vMerge/>
            <w:tcBorders>
              <w:left w:val="nil"/>
              <w:bottom w:val="single" w:sz="4" w:space="0" w:color="auto"/>
              <w:right w:val="single" w:sz="4" w:space="0" w:color="auto"/>
            </w:tcBorders>
            <w:shd w:val="clear" w:color="000000" w:fill="F2F2F2"/>
            <w:vAlign w:val="center"/>
          </w:tcPr>
          <w:p w:rsidR="00CF62AC" w:rsidRPr="002D70DA" w:rsidRDefault="00CF62AC" w:rsidP="00CF62AC">
            <w:pPr>
              <w:jc w:val="center"/>
              <w:rPr>
                <w:rFonts w:ascii="Arial" w:hAnsi="Arial" w:cs="Arial"/>
                <w:b/>
                <w:bCs/>
                <w:color w:val="000000"/>
                <w:sz w:val="17"/>
                <w:szCs w:val="17"/>
              </w:rPr>
            </w:pPr>
          </w:p>
        </w:tc>
        <w:tc>
          <w:tcPr>
            <w:tcW w:w="477" w:type="pct"/>
            <w:vMerge/>
            <w:tcBorders>
              <w:left w:val="nil"/>
              <w:bottom w:val="single" w:sz="4" w:space="0" w:color="auto"/>
              <w:right w:val="single" w:sz="4" w:space="0" w:color="auto"/>
            </w:tcBorders>
            <w:shd w:val="clear" w:color="000000" w:fill="F2F2F2"/>
            <w:vAlign w:val="center"/>
          </w:tcPr>
          <w:p w:rsidR="00CF62AC" w:rsidRPr="002D70DA" w:rsidRDefault="00CF62AC" w:rsidP="00CF62AC">
            <w:pPr>
              <w:jc w:val="center"/>
              <w:rPr>
                <w:rFonts w:ascii="Arial" w:hAnsi="Arial" w:cs="Arial"/>
                <w:b/>
                <w:bCs/>
                <w:color w:val="000000"/>
                <w:sz w:val="17"/>
                <w:szCs w:val="17"/>
              </w:rPr>
            </w:pPr>
          </w:p>
        </w:tc>
        <w:tc>
          <w:tcPr>
            <w:tcW w:w="665" w:type="pct"/>
            <w:tcBorders>
              <w:top w:val="single" w:sz="4" w:space="0" w:color="auto"/>
              <w:left w:val="nil"/>
              <w:bottom w:val="single" w:sz="4" w:space="0" w:color="auto"/>
              <w:right w:val="single" w:sz="4" w:space="0" w:color="auto"/>
            </w:tcBorders>
            <w:shd w:val="clear" w:color="auto" w:fill="D5DCE4" w:themeFill="text2" w:themeFillTint="33"/>
          </w:tcPr>
          <w:p w:rsidR="00CF62AC" w:rsidRPr="002D70DA" w:rsidRDefault="00CF62AC" w:rsidP="00CF62AC">
            <w:pPr>
              <w:jc w:val="center"/>
              <w:rPr>
                <w:rFonts w:ascii="Arial" w:hAnsi="Arial" w:cs="Arial"/>
                <w:b/>
                <w:bCs/>
                <w:color w:val="000000"/>
                <w:sz w:val="17"/>
                <w:szCs w:val="17"/>
              </w:rPr>
            </w:pPr>
            <w:r w:rsidRPr="00CF62AC">
              <w:rPr>
                <w:rFonts w:ascii="Arial" w:hAnsi="Arial" w:cs="Arial"/>
                <w:b/>
                <w:bCs/>
                <w:color w:val="000000"/>
                <w:sz w:val="17"/>
                <w:szCs w:val="17"/>
              </w:rPr>
              <w:t>Aptos para su uso</w:t>
            </w:r>
          </w:p>
        </w:tc>
        <w:tc>
          <w:tcPr>
            <w:tcW w:w="652" w:type="pct"/>
            <w:gridSpan w:val="2"/>
            <w:tcBorders>
              <w:top w:val="single" w:sz="4" w:space="0" w:color="auto"/>
              <w:left w:val="nil"/>
              <w:bottom w:val="single" w:sz="4" w:space="0" w:color="auto"/>
              <w:right w:val="single" w:sz="4" w:space="0" w:color="auto"/>
            </w:tcBorders>
            <w:shd w:val="clear" w:color="auto" w:fill="D5DCE4" w:themeFill="text2" w:themeFillTint="33"/>
          </w:tcPr>
          <w:p w:rsidR="00CF62AC" w:rsidRPr="002D70DA" w:rsidRDefault="00CF62AC" w:rsidP="00CF62AC">
            <w:pPr>
              <w:jc w:val="center"/>
              <w:rPr>
                <w:rFonts w:ascii="Arial" w:hAnsi="Arial" w:cs="Arial"/>
                <w:b/>
                <w:bCs/>
                <w:color w:val="000000"/>
                <w:sz w:val="17"/>
                <w:szCs w:val="17"/>
              </w:rPr>
            </w:pPr>
            <w:r w:rsidRPr="00CF62AC">
              <w:rPr>
                <w:rFonts w:ascii="Arial" w:hAnsi="Arial" w:cs="Arial"/>
                <w:b/>
                <w:bCs/>
                <w:color w:val="000000"/>
                <w:sz w:val="17"/>
                <w:szCs w:val="17"/>
              </w:rPr>
              <w:t>No Aptos o Inservibles</w:t>
            </w:r>
          </w:p>
        </w:tc>
      </w:tr>
      <w:tr w:rsidR="000A5319" w:rsidRPr="002D70DA" w:rsidTr="008D31C1">
        <w:trPr>
          <w:trHeight w:val="24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0A5319" w:rsidRPr="002D70DA" w:rsidRDefault="000A5319" w:rsidP="000A5319">
            <w:pPr>
              <w:rPr>
                <w:rFonts w:ascii="Arial" w:hAnsi="Arial" w:cs="Arial"/>
                <w:color w:val="000000"/>
                <w:sz w:val="17"/>
                <w:szCs w:val="17"/>
              </w:rPr>
            </w:pPr>
            <w:r w:rsidRPr="002D70DA">
              <w:rPr>
                <w:rFonts w:ascii="Arial" w:hAnsi="Arial" w:cs="Arial"/>
                <w:color w:val="000000"/>
                <w:sz w:val="17"/>
                <w:szCs w:val="17"/>
              </w:rPr>
              <w:t>Viviendas</w:t>
            </w:r>
          </w:p>
        </w:tc>
        <w:tc>
          <w:tcPr>
            <w:tcW w:w="544"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6,654</w:t>
            </w:r>
          </w:p>
        </w:tc>
        <w:tc>
          <w:tcPr>
            <w:tcW w:w="544"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6,654</w:t>
            </w:r>
          </w:p>
        </w:tc>
        <w:tc>
          <w:tcPr>
            <w:tcW w:w="544" w:type="pct"/>
            <w:tcBorders>
              <w:top w:val="nil"/>
              <w:left w:val="nil"/>
              <w:bottom w:val="single" w:sz="4" w:space="0" w:color="auto"/>
              <w:right w:val="single" w:sz="4" w:space="0" w:color="auto"/>
            </w:tcBorders>
            <w:shd w:val="clear" w:color="auto" w:fill="auto"/>
            <w:hideMark/>
          </w:tcPr>
          <w:p w:rsidR="000A5319" w:rsidRPr="00EC1072" w:rsidRDefault="000A5319" w:rsidP="000A5319">
            <w:pPr>
              <w:rPr>
                <w:rFonts w:ascii="Arial" w:hAnsi="Arial" w:cs="Arial"/>
                <w:sz w:val="17"/>
                <w:szCs w:val="17"/>
              </w:rPr>
            </w:pPr>
            <w:r w:rsidRPr="00EC1072">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0A5319" w:rsidRPr="00EC1072" w:rsidRDefault="000A5319" w:rsidP="000A5319">
            <w:pPr>
              <w:rPr>
                <w:rFonts w:ascii="Arial" w:hAnsi="Arial" w:cs="Arial"/>
                <w:sz w:val="17"/>
                <w:szCs w:val="17"/>
              </w:rPr>
            </w:pPr>
            <w:r w:rsidRPr="00EC1072">
              <w:rPr>
                <w:rFonts w:ascii="Arial" w:hAnsi="Arial" w:cs="Arial"/>
                <w:sz w:val="17"/>
                <w:szCs w:val="17"/>
              </w:rPr>
              <w:t>2% anual</w:t>
            </w:r>
          </w:p>
        </w:tc>
        <w:tc>
          <w:tcPr>
            <w:tcW w:w="477" w:type="pct"/>
            <w:tcBorders>
              <w:top w:val="nil"/>
              <w:left w:val="nil"/>
              <w:bottom w:val="single" w:sz="4" w:space="0" w:color="auto"/>
              <w:right w:val="single" w:sz="4" w:space="0" w:color="auto"/>
            </w:tcBorders>
            <w:shd w:val="clear" w:color="auto" w:fill="auto"/>
            <w:vAlign w:val="center"/>
            <w:hideMark/>
          </w:tcPr>
          <w:p w:rsidR="000A5319" w:rsidRPr="00D2341A" w:rsidRDefault="000A5319" w:rsidP="000A5319">
            <w:pPr>
              <w:rPr>
                <w:rFonts w:ascii="Arial" w:hAnsi="Arial" w:cs="Arial"/>
                <w:color w:val="000000"/>
                <w:sz w:val="17"/>
                <w:szCs w:val="17"/>
              </w:rPr>
            </w:pP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0A5319" w:rsidRPr="005615AD" w:rsidRDefault="000A5319" w:rsidP="000A5319">
            <w:pPr>
              <w:jc w:val="center"/>
            </w:pPr>
            <w:r>
              <w:rPr>
                <w:rFonts w:ascii="Arial" w:hAnsi="Arial" w:cs="Arial"/>
                <w:color w:val="000000"/>
                <w:sz w:val="17"/>
                <w:szCs w:val="17"/>
              </w:rPr>
              <w:t>6</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0A5319" w:rsidRDefault="000A5319" w:rsidP="000A5319">
            <w:pPr>
              <w:jc w:val="center"/>
            </w:pPr>
          </w:p>
        </w:tc>
      </w:tr>
      <w:tr w:rsidR="000A5319" w:rsidRPr="002D70DA" w:rsidTr="008D31C1">
        <w:trPr>
          <w:trHeight w:val="24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0A5319" w:rsidRPr="002D70DA" w:rsidRDefault="000A5319" w:rsidP="000A5319">
            <w:pPr>
              <w:rPr>
                <w:rFonts w:ascii="Arial" w:hAnsi="Arial" w:cs="Arial"/>
                <w:color w:val="000000"/>
                <w:sz w:val="17"/>
                <w:szCs w:val="17"/>
              </w:rPr>
            </w:pPr>
            <w:r w:rsidRPr="002D70DA">
              <w:rPr>
                <w:rFonts w:ascii="Arial" w:hAnsi="Arial" w:cs="Arial"/>
                <w:color w:val="000000"/>
                <w:sz w:val="17"/>
                <w:szCs w:val="17"/>
              </w:rPr>
              <w:t>Edificios no habitacionales</w:t>
            </w:r>
          </w:p>
        </w:tc>
        <w:tc>
          <w:tcPr>
            <w:tcW w:w="544"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392,472</w:t>
            </w:r>
          </w:p>
        </w:tc>
        <w:tc>
          <w:tcPr>
            <w:tcW w:w="544"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1,117,760</w:t>
            </w:r>
          </w:p>
        </w:tc>
        <w:tc>
          <w:tcPr>
            <w:tcW w:w="544" w:type="pct"/>
            <w:tcBorders>
              <w:top w:val="nil"/>
              <w:left w:val="nil"/>
              <w:bottom w:val="single" w:sz="4" w:space="0" w:color="auto"/>
              <w:right w:val="single" w:sz="4" w:space="0" w:color="auto"/>
            </w:tcBorders>
            <w:shd w:val="clear" w:color="auto" w:fill="auto"/>
            <w:hideMark/>
          </w:tcPr>
          <w:p w:rsidR="000A5319" w:rsidRPr="00EC1072" w:rsidRDefault="000A5319" w:rsidP="000A5319">
            <w:pPr>
              <w:rPr>
                <w:rFonts w:ascii="Arial" w:hAnsi="Arial" w:cs="Arial"/>
                <w:sz w:val="17"/>
                <w:szCs w:val="17"/>
              </w:rPr>
            </w:pPr>
            <w:r w:rsidRPr="00EC1072">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0A5319" w:rsidRPr="00EC1072" w:rsidRDefault="000A5319" w:rsidP="000A5319">
            <w:pPr>
              <w:rPr>
                <w:rFonts w:ascii="Arial" w:hAnsi="Arial" w:cs="Arial"/>
                <w:sz w:val="17"/>
                <w:szCs w:val="17"/>
              </w:rPr>
            </w:pPr>
            <w:r w:rsidRPr="00EC1072">
              <w:rPr>
                <w:rFonts w:ascii="Arial" w:hAnsi="Arial" w:cs="Arial"/>
                <w:sz w:val="17"/>
                <w:szCs w:val="17"/>
              </w:rPr>
              <w:t>3.3% anual</w:t>
            </w:r>
          </w:p>
        </w:tc>
        <w:tc>
          <w:tcPr>
            <w:tcW w:w="477" w:type="pct"/>
            <w:tcBorders>
              <w:top w:val="nil"/>
              <w:left w:val="nil"/>
              <w:bottom w:val="single" w:sz="4" w:space="0" w:color="auto"/>
              <w:right w:val="single" w:sz="4" w:space="0" w:color="auto"/>
            </w:tcBorders>
            <w:shd w:val="clear" w:color="auto" w:fill="auto"/>
            <w:vAlign w:val="center"/>
            <w:hideMark/>
          </w:tcPr>
          <w:p w:rsidR="000A5319" w:rsidRPr="00D2341A" w:rsidRDefault="000A5319" w:rsidP="000A5319">
            <w:pPr>
              <w:rPr>
                <w:rFonts w:ascii="Arial" w:hAnsi="Arial" w:cs="Arial"/>
                <w:color w:val="000000"/>
                <w:sz w:val="17"/>
                <w:szCs w:val="17"/>
              </w:rPr>
            </w:pPr>
            <w:r>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0A5319" w:rsidRPr="00643780" w:rsidRDefault="000A5319" w:rsidP="000A5319">
            <w:pPr>
              <w:jc w:val="center"/>
              <w:rPr>
                <w:rFonts w:ascii="Arial" w:hAnsi="Arial" w:cs="Arial"/>
                <w:color w:val="000000"/>
                <w:sz w:val="17"/>
                <w:szCs w:val="17"/>
              </w:rPr>
            </w:pPr>
            <w:r>
              <w:rPr>
                <w:rFonts w:ascii="Arial" w:hAnsi="Arial" w:cs="Arial"/>
                <w:color w:val="000000"/>
                <w:sz w:val="17"/>
                <w:szCs w:val="17"/>
              </w:rPr>
              <w:t>885</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0A5319" w:rsidRPr="00643780" w:rsidRDefault="000A5319" w:rsidP="000A5319">
            <w:pPr>
              <w:jc w:val="center"/>
              <w:rPr>
                <w:rFonts w:ascii="Arial" w:hAnsi="Arial" w:cs="Arial"/>
                <w:color w:val="000000"/>
                <w:sz w:val="17"/>
                <w:szCs w:val="17"/>
              </w:rPr>
            </w:pPr>
          </w:p>
        </w:tc>
      </w:tr>
      <w:tr w:rsidR="00CF62AC" w:rsidRPr="002D70DA" w:rsidTr="00643780">
        <w:trPr>
          <w:trHeight w:val="240"/>
        </w:trPr>
        <w:tc>
          <w:tcPr>
            <w:tcW w:w="1145" w:type="pct"/>
            <w:tcBorders>
              <w:top w:val="nil"/>
              <w:left w:val="nil"/>
              <w:bottom w:val="nil"/>
              <w:right w:val="nil"/>
            </w:tcBorders>
            <w:shd w:val="clear" w:color="000000" w:fill="FFFFFF"/>
            <w:vAlign w:val="center"/>
            <w:hideMark/>
          </w:tcPr>
          <w:p w:rsidR="00CF62AC" w:rsidRPr="002D70DA" w:rsidRDefault="00A10F30"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44" w:type="pct"/>
            <w:tcBorders>
              <w:top w:val="nil"/>
              <w:left w:val="single" w:sz="4" w:space="0" w:color="auto"/>
              <w:bottom w:val="single" w:sz="4" w:space="0" w:color="auto"/>
              <w:right w:val="single" w:sz="4" w:space="0" w:color="auto"/>
            </w:tcBorders>
            <w:shd w:val="clear" w:color="000000" w:fill="FFFFFF"/>
            <w:vAlign w:val="center"/>
          </w:tcPr>
          <w:p w:rsidR="00CF62AC" w:rsidRPr="002D70DA" w:rsidRDefault="000A5319" w:rsidP="00E771F3">
            <w:pPr>
              <w:jc w:val="right"/>
              <w:rPr>
                <w:rFonts w:ascii="Arial" w:hAnsi="Arial" w:cs="Arial"/>
                <w:b/>
                <w:bCs/>
                <w:color w:val="000000"/>
                <w:sz w:val="17"/>
                <w:szCs w:val="17"/>
              </w:rPr>
            </w:pPr>
            <w:r w:rsidRPr="000A5319">
              <w:rPr>
                <w:rFonts w:ascii="Arial" w:hAnsi="Arial" w:cs="Arial"/>
                <w:b/>
                <w:bCs/>
                <w:color w:val="000000"/>
                <w:sz w:val="17"/>
                <w:szCs w:val="17"/>
                <w14:numForm w14:val="lining"/>
              </w:rPr>
              <w:t>399,126</w:t>
            </w:r>
          </w:p>
        </w:tc>
        <w:tc>
          <w:tcPr>
            <w:tcW w:w="544" w:type="pct"/>
            <w:tcBorders>
              <w:top w:val="nil"/>
              <w:left w:val="nil"/>
              <w:bottom w:val="single" w:sz="4" w:space="0" w:color="auto"/>
              <w:right w:val="single" w:sz="4" w:space="0" w:color="auto"/>
            </w:tcBorders>
            <w:shd w:val="clear" w:color="000000" w:fill="FFFFFF"/>
            <w:vAlign w:val="center"/>
          </w:tcPr>
          <w:p w:rsidR="00CF62AC" w:rsidRPr="002D70DA" w:rsidRDefault="000A5319" w:rsidP="00E771F3">
            <w:pPr>
              <w:jc w:val="right"/>
              <w:rPr>
                <w:rFonts w:ascii="Arial" w:hAnsi="Arial" w:cs="Arial"/>
                <w:b/>
                <w:bCs/>
                <w:color w:val="000000"/>
                <w:sz w:val="17"/>
                <w:szCs w:val="17"/>
              </w:rPr>
            </w:pPr>
            <w:r w:rsidRPr="000A5319">
              <w:rPr>
                <w:rFonts w:ascii="Arial" w:hAnsi="Arial" w:cs="Arial"/>
                <w:b/>
                <w:bCs/>
                <w:color w:val="000000"/>
                <w:sz w:val="17"/>
                <w:szCs w:val="17"/>
                <w14:numForm w14:val="lining"/>
              </w:rPr>
              <w:t>1,124,414</w:t>
            </w:r>
          </w:p>
        </w:tc>
        <w:tc>
          <w:tcPr>
            <w:tcW w:w="544" w:type="pct"/>
            <w:tcBorders>
              <w:top w:val="nil"/>
              <w:left w:val="nil"/>
              <w:bottom w:val="nil"/>
              <w:right w:val="nil"/>
            </w:tcBorders>
            <w:shd w:val="clear" w:color="000000" w:fill="FFFFFF"/>
            <w:noWrap/>
            <w:vAlign w:val="bottom"/>
            <w:hideMark/>
          </w:tcPr>
          <w:p w:rsidR="00CF62AC" w:rsidRPr="002D70DA" w:rsidRDefault="00CF62AC"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429" w:type="pct"/>
            <w:tcBorders>
              <w:top w:val="nil"/>
              <w:left w:val="nil"/>
              <w:bottom w:val="nil"/>
              <w:right w:val="nil"/>
            </w:tcBorders>
            <w:shd w:val="clear" w:color="000000" w:fill="FFFFFF"/>
            <w:noWrap/>
            <w:vAlign w:val="bottom"/>
            <w:hideMark/>
          </w:tcPr>
          <w:p w:rsidR="00CF62AC" w:rsidRPr="002D70DA" w:rsidRDefault="00CF62AC"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477" w:type="pct"/>
            <w:tcBorders>
              <w:top w:val="nil"/>
              <w:left w:val="nil"/>
              <w:bottom w:val="nil"/>
              <w:right w:val="nil"/>
            </w:tcBorders>
            <w:shd w:val="clear" w:color="000000" w:fill="FFFFFF"/>
            <w:noWrap/>
            <w:vAlign w:val="bottom"/>
            <w:hideMark/>
          </w:tcPr>
          <w:p w:rsidR="00CF62AC" w:rsidRPr="002D70DA" w:rsidRDefault="00CF62AC"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73" w:type="pct"/>
            <w:gridSpan w:val="2"/>
            <w:tcBorders>
              <w:top w:val="nil"/>
              <w:left w:val="nil"/>
              <w:bottom w:val="nil"/>
              <w:right w:val="nil"/>
            </w:tcBorders>
            <w:shd w:val="clear" w:color="000000" w:fill="FFFFFF"/>
          </w:tcPr>
          <w:p w:rsidR="00CF62AC" w:rsidRPr="002D70DA" w:rsidRDefault="00CF62AC" w:rsidP="00E771F3">
            <w:pPr>
              <w:rPr>
                <w:rFonts w:ascii="Arial" w:hAnsi="Arial" w:cs="Arial"/>
                <w:b/>
                <w:bCs/>
                <w:color w:val="FF0000"/>
                <w:sz w:val="17"/>
                <w:szCs w:val="17"/>
              </w:rPr>
            </w:pPr>
          </w:p>
        </w:tc>
        <w:tc>
          <w:tcPr>
            <w:tcW w:w="644" w:type="pct"/>
            <w:tcBorders>
              <w:top w:val="nil"/>
              <w:left w:val="nil"/>
              <w:bottom w:val="nil"/>
              <w:right w:val="nil"/>
            </w:tcBorders>
            <w:shd w:val="clear" w:color="000000" w:fill="FFFFFF"/>
            <w:noWrap/>
            <w:vAlign w:val="bottom"/>
            <w:hideMark/>
          </w:tcPr>
          <w:p w:rsidR="00CF62AC" w:rsidRPr="002D70DA" w:rsidRDefault="00CF62AC"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145CB3" w:rsidRDefault="00145CB3">
      <w:pPr>
        <w:rPr>
          <w:rFonts w:ascii="Arial" w:eastAsia="Calibri" w:hAnsi="Arial" w:cs="Arial"/>
          <w:spacing w:val="-1"/>
          <w:sz w:val="17"/>
          <w:szCs w:val="17"/>
        </w:rPr>
      </w:pPr>
    </w:p>
    <w:p w:rsidR="00503769" w:rsidRDefault="00503769">
      <w:pPr>
        <w:rPr>
          <w:rFonts w:ascii="Arial" w:eastAsia="Calibri" w:hAnsi="Arial" w:cs="Arial"/>
          <w:spacing w:val="-1"/>
          <w:sz w:val="17"/>
          <w:szCs w:val="17"/>
        </w:rPr>
      </w:pPr>
    </w:p>
    <w:p w:rsidR="0008166A" w:rsidRPr="008918A4" w:rsidRDefault="0008166A" w:rsidP="0008166A">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 xml:space="preserve">Se informa de manera agrupada por cuenta el rubro de </w:t>
      </w:r>
      <w:r>
        <w:rPr>
          <w:rFonts w:ascii="Arial" w:eastAsia="Calibri" w:hAnsi="Arial" w:cs="Arial"/>
          <w:spacing w:val="-1"/>
          <w:sz w:val="17"/>
          <w:szCs w:val="17"/>
        </w:rPr>
        <w:t>Activos Intangibles</w:t>
      </w:r>
      <w:r w:rsidRPr="008918A4">
        <w:rPr>
          <w:rFonts w:ascii="Arial" w:eastAsia="Calibri" w:hAnsi="Arial" w:cs="Arial"/>
          <w:spacing w:val="-1"/>
          <w:sz w:val="17"/>
          <w:szCs w:val="17"/>
        </w:rPr>
        <w:t>, el monto al 31 de diciembre del 2016:</w:t>
      </w:r>
    </w:p>
    <w:p w:rsidR="0008166A" w:rsidRPr="005540CE" w:rsidRDefault="0008166A" w:rsidP="0008166A">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08166A" w:rsidRPr="002D70DA" w:rsidTr="005304C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8166A" w:rsidRPr="002D70DA" w:rsidRDefault="0008166A" w:rsidP="005304C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08166A" w:rsidRPr="002D70DA" w:rsidRDefault="0008166A" w:rsidP="005304C7">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8166A" w:rsidRPr="002D70DA" w:rsidRDefault="0008166A" w:rsidP="005304C7">
            <w:pPr>
              <w:jc w:val="center"/>
              <w:rPr>
                <w:rFonts w:ascii="Arial" w:hAnsi="Arial" w:cs="Arial"/>
                <w:b/>
                <w:bCs/>
                <w:color w:val="000000"/>
                <w:sz w:val="17"/>
                <w:szCs w:val="17"/>
              </w:rPr>
            </w:pPr>
            <w:r>
              <w:rPr>
                <w:rFonts w:ascii="Arial" w:hAnsi="Arial" w:cs="Arial"/>
                <w:b/>
                <w:bCs/>
                <w:color w:val="000000"/>
                <w:sz w:val="17"/>
                <w:szCs w:val="17"/>
              </w:rPr>
              <w:t>2015</w:t>
            </w:r>
          </w:p>
        </w:tc>
      </w:tr>
      <w:tr w:rsidR="0008166A" w:rsidRPr="002D70DA" w:rsidTr="005304C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8166A" w:rsidRPr="0008166A" w:rsidRDefault="0008166A" w:rsidP="0008166A">
            <w:pPr>
              <w:rPr>
                <w:rFonts w:ascii="Arial" w:hAnsi="Arial" w:cs="Arial"/>
                <w:sz w:val="17"/>
                <w:szCs w:val="17"/>
              </w:rPr>
            </w:pPr>
            <w:r w:rsidRPr="0008166A">
              <w:rPr>
                <w:rFonts w:ascii="Arial" w:hAnsi="Arial" w:cs="Arial"/>
                <w:sz w:val="17"/>
                <w:szCs w:val="17"/>
              </w:rPr>
              <w:t>Software</w:t>
            </w:r>
          </w:p>
        </w:tc>
        <w:tc>
          <w:tcPr>
            <w:tcW w:w="2091" w:type="dxa"/>
            <w:tcBorders>
              <w:top w:val="single" w:sz="4" w:space="0" w:color="auto"/>
              <w:left w:val="nil"/>
              <w:bottom w:val="single" w:sz="4" w:space="0" w:color="auto"/>
              <w:right w:val="single" w:sz="4" w:space="0" w:color="auto"/>
            </w:tcBorders>
            <w:shd w:val="clear" w:color="auto" w:fill="auto"/>
          </w:tcPr>
          <w:p w:rsidR="0008166A" w:rsidRPr="0008166A" w:rsidRDefault="0008166A" w:rsidP="0008166A">
            <w:pPr>
              <w:jc w:val="right"/>
              <w:rPr>
                <w:rFonts w:ascii="Arial" w:hAnsi="Arial" w:cs="Arial"/>
                <w:sz w:val="17"/>
                <w:szCs w:val="17"/>
              </w:rPr>
            </w:pPr>
            <w:r w:rsidRPr="0008166A">
              <w:rPr>
                <w:rFonts w:ascii="Arial" w:hAnsi="Arial" w:cs="Arial"/>
                <w:sz w:val="17"/>
                <w:szCs w:val="17"/>
              </w:rPr>
              <w:t xml:space="preserve">41,288,180 </w:t>
            </w:r>
          </w:p>
        </w:tc>
        <w:tc>
          <w:tcPr>
            <w:tcW w:w="2148" w:type="dxa"/>
            <w:tcBorders>
              <w:top w:val="nil"/>
              <w:left w:val="single" w:sz="4" w:space="0" w:color="auto"/>
              <w:bottom w:val="single" w:sz="4" w:space="0" w:color="auto"/>
              <w:right w:val="single" w:sz="4" w:space="0" w:color="auto"/>
            </w:tcBorders>
            <w:shd w:val="clear" w:color="auto" w:fill="auto"/>
          </w:tcPr>
          <w:p w:rsidR="0008166A" w:rsidRPr="0008166A" w:rsidRDefault="0008166A" w:rsidP="0008166A">
            <w:pPr>
              <w:jc w:val="right"/>
              <w:rPr>
                <w:rFonts w:ascii="Arial" w:hAnsi="Arial" w:cs="Arial"/>
                <w:sz w:val="17"/>
                <w:szCs w:val="17"/>
              </w:rPr>
            </w:pPr>
            <w:r w:rsidRPr="0008166A">
              <w:rPr>
                <w:rFonts w:ascii="Arial" w:hAnsi="Arial" w:cs="Arial"/>
                <w:sz w:val="17"/>
                <w:szCs w:val="17"/>
              </w:rPr>
              <w:t xml:space="preserve">53,268,390 </w:t>
            </w:r>
          </w:p>
        </w:tc>
      </w:tr>
      <w:tr w:rsidR="0008166A" w:rsidRPr="002D70DA" w:rsidTr="005304C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8166A" w:rsidRPr="0008166A" w:rsidRDefault="0008166A" w:rsidP="0008166A">
            <w:pPr>
              <w:rPr>
                <w:rFonts w:ascii="Arial" w:hAnsi="Arial" w:cs="Arial"/>
                <w:sz w:val="17"/>
                <w:szCs w:val="17"/>
              </w:rPr>
            </w:pPr>
            <w:r w:rsidRPr="0008166A">
              <w:rPr>
                <w:rFonts w:ascii="Arial" w:hAnsi="Arial" w:cs="Arial"/>
                <w:sz w:val="17"/>
                <w:szCs w:val="17"/>
              </w:rPr>
              <w:t>Patentes, Marcas y Derechos</w:t>
            </w:r>
          </w:p>
        </w:tc>
        <w:tc>
          <w:tcPr>
            <w:tcW w:w="2091" w:type="dxa"/>
            <w:tcBorders>
              <w:top w:val="single" w:sz="4" w:space="0" w:color="auto"/>
              <w:left w:val="nil"/>
              <w:bottom w:val="single" w:sz="4" w:space="0" w:color="auto"/>
              <w:right w:val="single" w:sz="4" w:space="0" w:color="auto"/>
            </w:tcBorders>
            <w:shd w:val="clear" w:color="auto" w:fill="auto"/>
          </w:tcPr>
          <w:p w:rsidR="0008166A" w:rsidRPr="0008166A" w:rsidRDefault="0008166A" w:rsidP="0008166A">
            <w:pPr>
              <w:jc w:val="right"/>
              <w:rPr>
                <w:rFonts w:ascii="Arial" w:hAnsi="Arial" w:cs="Arial"/>
                <w:sz w:val="17"/>
                <w:szCs w:val="17"/>
              </w:rPr>
            </w:pPr>
            <w:r w:rsidRPr="0008166A">
              <w:rPr>
                <w:rFonts w:ascii="Arial" w:hAnsi="Arial" w:cs="Arial"/>
                <w:sz w:val="17"/>
                <w:szCs w:val="17"/>
              </w:rPr>
              <w:t xml:space="preserve">117,109 </w:t>
            </w:r>
          </w:p>
        </w:tc>
        <w:tc>
          <w:tcPr>
            <w:tcW w:w="2148" w:type="dxa"/>
            <w:tcBorders>
              <w:top w:val="nil"/>
              <w:left w:val="single" w:sz="4" w:space="0" w:color="auto"/>
              <w:bottom w:val="single" w:sz="4" w:space="0" w:color="auto"/>
              <w:right w:val="single" w:sz="4" w:space="0" w:color="auto"/>
            </w:tcBorders>
            <w:shd w:val="clear" w:color="auto" w:fill="auto"/>
          </w:tcPr>
          <w:p w:rsidR="0008166A" w:rsidRPr="0008166A" w:rsidRDefault="0008166A" w:rsidP="0008166A">
            <w:pPr>
              <w:jc w:val="right"/>
              <w:rPr>
                <w:rFonts w:ascii="Arial" w:hAnsi="Arial" w:cs="Arial"/>
                <w:sz w:val="17"/>
                <w:szCs w:val="17"/>
              </w:rPr>
            </w:pPr>
            <w:r w:rsidRPr="0008166A">
              <w:rPr>
                <w:rFonts w:ascii="Arial" w:hAnsi="Arial" w:cs="Arial"/>
                <w:sz w:val="17"/>
                <w:szCs w:val="17"/>
              </w:rPr>
              <w:t xml:space="preserve">117,109 </w:t>
            </w:r>
          </w:p>
        </w:tc>
      </w:tr>
      <w:tr w:rsidR="0008166A" w:rsidRPr="002D70DA" w:rsidTr="005304C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8166A" w:rsidRPr="0008166A" w:rsidRDefault="0008166A" w:rsidP="0008166A">
            <w:pPr>
              <w:rPr>
                <w:rFonts w:ascii="Arial" w:hAnsi="Arial" w:cs="Arial"/>
                <w:sz w:val="17"/>
                <w:szCs w:val="17"/>
              </w:rPr>
            </w:pPr>
            <w:r w:rsidRPr="0008166A">
              <w:rPr>
                <w:rFonts w:ascii="Arial" w:hAnsi="Arial" w:cs="Arial"/>
                <w:sz w:val="17"/>
                <w:szCs w:val="17"/>
              </w:rPr>
              <w:t>Licencias</w:t>
            </w:r>
          </w:p>
        </w:tc>
        <w:tc>
          <w:tcPr>
            <w:tcW w:w="2091" w:type="dxa"/>
            <w:tcBorders>
              <w:top w:val="single" w:sz="4" w:space="0" w:color="auto"/>
              <w:left w:val="nil"/>
              <w:bottom w:val="single" w:sz="4" w:space="0" w:color="auto"/>
              <w:right w:val="single" w:sz="4" w:space="0" w:color="auto"/>
            </w:tcBorders>
            <w:shd w:val="clear" w:color="auto" w:fill="auto"/>
          </w:tcPr>
          <w:p w:rsidR="0008166A" w:rsidRPr="0008166A" w:rsidRDefault="0008166A" w:rsidP="0008166A">
            <w:pPr>
              <w:jc w:val="right"/>
              <w:rPr>
                <w:rFonts w:ascii="Arial" w:hAnsi="Arial" w:cs="Arial"/>
                <w:sz w:val="17"/>
                <w:szCs w:val="17"/>
              </w:rPr>
            </w:pPr>
            <w:r w:rsidRPr="0008166A">
              <w:rPr>
                <w:rFonts w:ascii="Arial" w:hAnsi="Arial" w:cs="Arial"/>
                <w:sz w:val="17"/>
                <w:szCs w:val="17"/>
              </w:rPr>
              <w:t xml:space="preserve">88,060,364 </w:t>
            </w:r>
          </w:p>
        </w:tc>
        <w:tc>
          <w:tcPr>
            <w:tcW w:w="2148" w:type="dxa"/>
            <w:tcBorders>
              <w:top w:val="nil"/>
              <w:left w:val="single" w:sz="4" w:space="0" w:color="auto"/>
              <w:bottom w:val="single" w:sz="4" w:space="0" w:color="auto"/>
              <w:right w:val="single" w:sz="4" w:space="0" w:color="auto"/>
            </w:tcBorders>
            <w:shd w:val="clear" w:color="auto" w:fill="auto"/>
          </w:tcPr>
          <w:p w:rsidR="0008166A" w:rsidRPr="0008166A" w:rsidRDefault="0008166A" w:rsidP="0008166A">
            <w:pPr>
              <w:jc w:val="right"/>
              <w:rPr>
                <w:rFonts w:ascii="Arial" w:hAnsi="Arial" w:cs="Arial"/>
                <w:sz w:val="17"/>
                <w:szCs w:val="17"/>
              </w:rPr>
            </w:pPr>
            <w:r w:rsidRPr="0008166A">
              <w:rPr>
                <w:rFonts w:ascii="Arial" w:hAnsi="Arial" w:cs="Arial"/>
                <w:sz w:val="17"/>
                <w:szCs w:val="17"/>
              </w:rPr>
              <w:t xml:space="preserve">87,357,401 </w:t>
            </w:r>
          </w:p>
        </w:tc>
      </w:tr>
      <w:tr w:rsidR="0008166A" w:rsidRPr="002D70DA" w:rsidTr="005304C7">
        <w:trPr>
          <w:trHeight w:val="240"/>
          <w:jc w:val="center"/>
        </w:trPr>
        <w:tc>
          <w:tcPr>
            <w:tcW w:w="4743" w:type="dxa"/>
            <w:tcBorders>
              <w:top w:val="single" w:sz="4" w:space="0" w:color="auto"/>
              <w:right w:val="single" w:sz="4" w:space="0" w:color="auto"/>
            </w:tcBorders>
            <w:shd w:val="clear" w:color="auto" w:fill="auto"/>
            <w:vAlign w:val="center"/>
          </w:tcPr>
          <w:p w:rsidR="0008166A" w:rsidRPr="00F93CE5" w:rsidRDefault="0008166A" w:rsidP="005304C7">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08166A" w:rsidRPr="00C90054" w:rsidRDefault="0008166A" w:rsidP="005304C7">
            <w:pPr>
              <w:jc w:val="right"/>
              <w:rPr>
                <w:rFonts w:ascii="Arial" w:hAnsi="Arial" w:cs="Arial"/>
                <w:b/>
                <w:bCs/>
                <w:color w:val="000000"/>
                <w:sz w:val="17"/>
                <w:szCs w:val="17"/>
              </w:rPr>
            </w:pPr>
            <w:r w:rsidRPr="0008166A">
              <w:rPr>
                <w:rFonts w:ascii="Arial" w:hAnsi="Arial" w:cs="Arial"/>
                <w:b/>
                <w:bCs/>
                <w:color w:val="000000"/>
                <w:sz w:val="17"/>
                <w:szCs w:val="17"/>
              </w:rPr>
              <w:t>129,465,652</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08166A" w:rsidRPr="00C90054" w:rsidRDefault="0008166A" w:rsidP="005304C7">
            <w:pPr>
              <w:jc w:val="right"/>
              <w:rPr>
                <w:rFonts w:ascii="Arial" w:hAnsi="Arial" w:cs="Arial"/>
                <w:b/>
                <w:bCs/>
                <w:color w:val="000000"/>
                <w:sz w:val="17"/>
                <w:szCs w:val="17"/>
              </w:rPr>
            </w:pPr>
            <w:r w:rsidRPr="0008166A">
              <w:rPr>
                <w:rFonts w:ascii="Arial" w:hAnsi="Arial" w:cs="Arial"/>
                <w:b/>
                <w:bCs/>
                <w:color w:val="000000"/>
                <w:sz w:val="17"/>
                <w:szCs w:val="17"/>
              </w:rPr>
              <w:t>140,742,900</w:t>
            </w:r>
          </w:p>
        </w:tc>
      </w:tr>
    </w:tbl>
    <w:p w:rsidR="00D718EB" w:rsidRPr="002D70DA" w:rsidRDefault="00D718EB" w:rsidP="00145CB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AC037A">
        <w:rPr>
          <w:rFonts w:ascii="Arial" w:eastAsia="Calibri" w:hAnsi="Arial" w:cs="Arial"/>
          <w:spacing w:val="-1"/>
          <w:sz w:val="17"/>
          <w:szCs w:val="17"/>
        </w:rPr>
        <w:t xml:space="preserve"> de la </w:t>
      </w:r>
      <w:r w:rsidRPr="002D70DA">
        <w:rPr>
          <w:rFonts w:ascii="Arial" w:eastAsia="Calibri" w:hAnsi="Arial" w:cs="Arial"/>
          <w:spacing w:val="-1"/>
          <w:sz w:val="17"/>
          <w:szCs w:val="17"/>
        </w:rPr>
        <w:t>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3788" w:type="pct"/>
        <w:jc w:val="center"/>
        <w:tblCellMar>
          <w:left w:w="70" w:type="dxa"/>
          <w:right w:w="70" w:type="dxa"/>
        </w:tblCellMar>
        <w:tblLook w:val="04A0" w:firstRow="1" w:lastRow="0" w:firstColumn="1" w:lastColumn="0" w:noHBand="0" w:noVBand="1"/>
      </w:tblPr>
      <w:tblGrid>
        <w:gridCol w:w="3624"/>
        <w:gridCol w:w="1610"/>
        <w:gridCol w:w="1609"/>
        <w:gridCol w:w="1609"/>
        <w:gridCol w:w="1607"/>
      </w:tblGrid>
      <w:tr w:rsidR="000A5319" w:rsidRPr="002D70DA" w:rsidTr="00145CB3">
        <w:trPr>
          <w:trHeight w:val="720"/>
          <w:jc w:val="center"/>
        </w:trPr>
        <w:tc>
          <w:tcPr>
            <w:tcW w:w="1801"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A5319"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800"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5319"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800"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5319" w:rsidRPr="002D70DA" w:rsidRDefault="000A5319">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800"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5319" w:rsidRPr="002D70DA" w:rsidRDefault="00145CB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799"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5319" w:rsidRPr="002D70DA" w:rsidRDefault="00145CB3">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0A5319" w:rsidRPr="002D70DA" w:rsidTr="00145CB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0A5319" w:rsidRPr="002D70DA" w:rsidRDefault="000A5319" w:rsidP="000A5319">
            <w:pPr>
              <w:rPr>
                <w:rFonts w:ascii="Arial" w:hAnsi="Arial" w:cs="Arial"/>
                <w:color w:val="000000"/>
                <w:sz w:val="17"/>
                <w:szCs w:val="17"/>
              </w:rPr>
            </w:pPr>
            <w:r w:rsidRPr="002D70DA">
              <w:rPr>
                <w:rFonts w:ascii="Arial" w:hAnsi="Arial" w:cs="Arial"/>
                <w:color w:val="000000"/>
                <w:sz w:val="17"/>
                <w:szCs w:val="17"/>
              </w:rPr>
              <w:t>Software</w:t>
            </w:r>
          </w:p>
        </w:tc>
        <w:tc>
          <w:tcPr>
            <w:tcW w:w="800"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2,602,516</w:t>
            </w:r>
          </w:p>
        </w:tc>
        <w:tc>
          <w:tcPr>
            <w:tcW w:w="800"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6,065,046</w:t>
            </w:r>
          </w:p>
        </w:tc>
        <w:tc>
          <w:tcPr>
            <w:tcW w:w="800" w:type="pct"/>
            <w:tcBorders>
              <w:top w:val="nil"/>
              <w:left w:val="nil"/>
              <w:bottom w:val="single" w:sz="4" w:space="0" w:color="auto"/>
              <w:right w:val="single" w:sz="4" w:space="0" w:color="auto"/>
            </w:tcBorders>
            <w:shd w:val="clear" w:color="auto" w:fill="auto"/>
            <w:hideMark/>
          </w:tcPr>
          <w:p w:rsidR="000A5319" w:rsidRPr="00D2341A" w:rsidRDefault="000A5319" w:rsidP="000A5319">
            <w:pPr>
              <w:rPr>
                <w:rFonts w:ascii="Arial" w:hAnsi="Arial" w:cs="Arial"/>
                <w:sz w:val="17"/>
                <w:szCs w:val="17"/>
              </w:rPr>
            </w:pPr>
            <w:r w:rsidRPr="00D2341A">
              <w:rPr>
                <w:rFonts w:ascii="Arial" w:hAnsi="Arial" w:cs="Arial"/>
                <w:sz w:val="17"/>
                <w:szCs w:val="17"/>
              </w:rPr>
              <w:t>4% anual</w:t>
            </w:r>
          </w:p>
        </w:tc>
        <w:tc>
          <w:tcPr>
            <w:tcW w:w="799" w:type="pct"/>
            <w:tcBorders>
              <w:top w:val="nil"/>
              <w:left w:val="nil"/>
              <w:bottom w:val="single" w:sz="4" w:space="0" w:color="auto"/>
              <w:right w:val="single" w:sz="4" w:space="0" w:color="auto"/>
            </w:tcBorders>
            <w:shd w:val="clear" w:color="auto" w:fill="auto"/>
            <w:hideMark/>
          </w:tcPr>
          <w:p w:rsidR="000A5319" w:rsidRPr="00D2341A" w:rsidRDefault="000A5319" w:rsidP="000A5319">
            <w:pPr>
              <w:rPr>
                <w:rFonts w:ascii="Arial" w:hAnsi="Arial" w:cs="Arial"/>
                <w:sz w:val="17"/>
                <w:szCs w:val="17"/>
              </w:rPr>
            </w:pPr>
            <w:r w:rsidRPr="00D2341A">
              <w:rPr>
                <w:rFonts w:ascii="Arial" w:hAnsi="Arial" w:cs="Arial"/>
                <w:sz w:val="17"/>
                <w:szCs w:val="17"/>
              </w:rPr>
              <w:t>Lineal</w:t>
            </w:r>
          </w:p>
        </w:tc>
      </w:tr>
      <w:tr w:rsidR="000A5319" w:rsidRPr="002D70DA" w:rsidTr="00145CB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0A5319" w:rsidRPr="002D70DA" w:rsidRDefault="000A5319" w:rsidP="000A5319">
            <w:pPr>
              <w:rPr>
                <w:rFonts w:ascii="Arial" w:hAnsi="Arial" w:cs="Arial"/>
                <w:color w:val="000000"/>
                <w:sz w:val="17"/>
                <w:szCs w:val="17"/>
              </w:rPr>
            </w:pPr>
            <w:r w:rsidRPr="002D70DA">
              <w:rPr>
                <w:rFonts w:ascii="Arial" w:hAnsi="Arial" w:cs="Arial"/>
                <w:color w:val="000000"/>
                <w:sz w:val="17"/>
                <w:szCs w:val="17"/>
              </w:rPr>
              <w:t>Patentes, marcas y derechos</w:t>
            </w:r>
          </w:p>
        </w:tc>
        <w:tc>
          <w:tcPr>
            <w:tcW w:w="800"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3,028</w:t>
            </w:r>
          </w:p>
        </w:tc>
        <w:tc>
          <w:tcPr>
            <w:tcW w:w="800"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10,461</w:t>
            </w:r>
          </w:p>
        </w:tc>
        <w:tc>
          <w:tcPr>
            <w:tcW w:w="800" w:type="pct"/>
            <w:tcBorders>
              <w:top w:val="nil"/>
              <w:left w:val="nil"/>
              <w:bottom w:val="single" w:sz="4" w:space="0" w:color="auto"/>
              <w:right w:val="single" w:sz="4" w:space="0" w:color="auto"/>
            </w:tcBorders>
            <w:shd w:val="clear" w:color="auto" w:fill="auto"/>
            <w:hideMark/>
          </w:tcPr>
          <w:p w:rsidR="000A5319" w:rsidRPr="00D2341A" w:rsidRDefault="000A5319" w:rsidP="000A5319">
            <w:pPr>
              <w:rPr>
                <w:rFonts w:ascii="Arial" w:hAnsi="Arial" w:cs="Arial"/>
                <w:sz w:val="17"/>
                <w:szCs w:val="17"/>
              </w:rPr>
            </w:pPr>
            <w:r w:rsidRPr="00D2341A">
              <w:rPr>
                <w:rFonts w:ascii="Arial" w:hAnsi="Arial" w:cs="Arial"/>
                <w:sz w:val="17"/>
                <w:szCs w:val="17"/>
              </w:rPr>
              <w:t>10% anual</w:t>
            </w:r>
          </w:p>
        </w:tc>
        <w:tc>
          <w:tcPr>
            <w:tcW w:w="799" w:type="pct"/>
            <w:tcBorders>
              <w:top w:val="nil"/>
              <w:left w:val="nil"/>
              <w:bottom w:val="single" w:sz="4" w:space="0" w:color="auto"/>
              <w:right w:val="single" w:sz="4" w:space="0" w:color="auto"/>
            </w:tcBorders>
            <w:shd w:val="clear" w:color="auto" w:fill="auto"/>
            <w:hideMark/>
          </w:tcPr>
          <w:p w:rsidR="000A5319" w:rsidRPr="00D2341A" w:rsidRDefault="000A5319" w:rsidP="000A5319">
            <w:pPr>
              <w:rPr>
                <w:rFonts w:ascii="Arial" w:hAnsi="Arial" w:cs="Arial"/>
                <w:sz w:val="17"/>
                <w:szCs w:val="17"/>
              </w:rPr>
            </w:pPr>
            <w:r w:rsidRPr="00D2341A">
              <w:rPr>
                <w:rFonts w:ascii="Arial" w:hAnsi="Arial" w:cs="Arial"/>
                <w:sz w:val="17"/>
                <w:szCs w:val="17"/>
              </w:rPr>
              <w:t>Lineal</w:t>
            </w:r>
          </w:p>
        </w:tc>
      </w:tr>
      <w:tr w:rsidR="000A5319" w:rsidRPr="002D70DA" w:rsidTr="00145CB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0A5319" w:rsidRPr="002D70DA" w:rsidRDefault="000A5319" w:rsidP="000A5319">
            <w:pPr>
              <w:rPr>
                <w:rFonts w:ascii="Arial" w:hAnsi="Arial" w:cs="Arial"/>
                <w:color w:val="000000"/>
                <w:sz w:val="17"/>
                <w:szCs w:val="17"/>
              </w:rPr>
            </w:pPr>
            <w:r w:rsidRPr="002D70DA">
              <w:rPr>
                <w:rFonts w:ascii="Arial" w:hAnsi="Arial" w:cs="Arial"/>
                <w:color w:val="000000"/>
                <w:sz w:val="17"/>
                <w:szCs w:val="17"/>
              </w:rPr>
              <w:t>Licencias</w:t>
            </w:r>
          </w:p>
        </w:tc>
        <w:tc>
          <w:tcPr>
            <w:tcW w:w="800"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9,881,802</w:t>
            </w:r>
          </w:p>
        </w:tc>
        <w:tc>
          <w:tcPr>
            <w:tcW w:w="800" w:type="pct"/>
            <w:tcBorders>
              <w:top w:val="nil"/>
              <w:left w:val="nil"/>
              <w:bottom w:val="single" w:sz="4" w:space="0" w:color="auto"/>
              <w:right w:val="single" w:sz="4" w:space="0" w:color="auto"/>
            </w:tcBorders>
            <w:shd w:val="clear" w:color="auto" w:fill="auto"/>
          </w:tcPr>
          <w:p w:rsidR="000A5319" w:rsidRPr="000A5319" w:rsidRDefault="000A5319" w:rsidP="000A5319">
            <w:pPr>
              <w:jc w:val="right"/>
              <w:rPr>
                <w:rFonts w:ascii="Arial" w:hAnsi="Arial" w:cs="Arial"/>
                <w:sz w:val="17"/>
                <w:szCs w:val="17"/>
              </w:rPr>
            </w:pPr>
            <w:r w:rsidRPr="000A5319">
              <w:rPr>
                <w:rFonts w:ascii="Arial" w:hAnsi="Arial" w:cs="Arial"/>
                <w:sz w:val="17"/>
                <w:szCs w:val="17"/>
              </w:rPr>
              <w:t>21,152,328</w:t>
            </w:r>
          </w:p>
        </w:tc>
        <w:tc>
          <w:tcPr>
            <w:tcW w:w="800" w:type="pct"/>
            <w:tcBorders>
              <w:top w:val="nil"/>
              <w:left w:val="nil"/>
              <w:bottom w:val="single" w:sz="4" w:space="0" w:color="auto"/>
              <w:right w:val="single" w:sz="4" w:space="0" w:color="auto"/>
            </w:tcBorders>
            <w:shd w:val="clear" w:color="auto" w:fill="auto"/>
            <w:hideMark/>
          </w:tcPr>
          <w:p w:rsidR="000A5319" w:rsidRPr="00D2341A" w:rsidRDefault="000A5319" w:rsidP="000A5319">
            <w:pPr>
              <w:rPr>
                <w:rFonts w:ascii="Arial" w:hAnsi="Arial" w:cs="Arial"/>
                <w:sz w:val="17"/>
                <w:szCs w:val="17"/>
              </w:rPr>
            </w:pPr>
            <w:r w:rsidRPr="00D2341A">
              <w:rPr>
                <w:rFonts w:ascii="Arial" w:hAnsi="Arial" w:cs="Arial"/>
                <w:sz w:val="17"/>
                <w:szCs w:val="17"/>
              </w:rPr>
              <w:t>20% anual</w:t>
            </w:r>
          </w:p>
        </w:tc>
        <w:tc>
          <w:tcPr>
            <w:tcW w:w="799" w:type="pct"/>
            <w:tcBorders>
              <w:top w:val="nil"/>
              <w:left w:val="nil"/>
              <w:bottom w:val="single" w:sz="4" w:space="0" w:color="auto"/>
              <w:right w:val="single" w:sz="4" w:space="0" w:color="auto"/>
            </w:tcBorders>
            <w:shd w:val="clear" w:color="auto" w:fill="auto"/>
            <w:hideMark/>
          </w:tcPr>
          <w:p w:rsidR="000A5319" w:rsidRPr="00D2341A" w:rsidRDefault="000A5319" w:rsidP="000A5319">
            <w:pPr>
              <w:rPr>
                <w:rFonts w:ascii="Arial" w:hAnsi="Arial" w:cs="Arial"/>
                <w:sz w:val="17"/>
                <w:szCs w:val="17"/>
              </w:rPr>
            </w:pPr>
            <w:r w:rsidRPr="00D2341A">
              <w:rPr>
                <w:rFonts w:ascii="Arial" w:hAnsi="Arial" w:cs="Arial"/>
                <w:sz w:val="17"/>
                <w:szCs w:val="17"/>
              </w:rPr>
              <w:t>Lineal</w:t>
            </w:r>
          </w:p>
        </w:tc>
      </w:tr>
      <w:tr w:rsidR="000A5319" w:rsidRPr="002D70DA" w:rsidTr="00145CB3">
        <w:trPr>
          <w:trHeight w:val="240"/>
          <w:jc w:val="center"/>
        </w:trPr>
        <w:tc>
          <w:tcPr>
            <w:tcW w:w="1801" w:type="pct"/>
            <w:tcBorders>
              <w:top w:val="nil"/>
              <w:left w:val="nil"/>
              <w:bottom w:val="nil"/>
              <w:right w:val="nil"/>
            </w:tcBorders>
            <w:shd w:val="clear" w:color="000000" w:fill="FFFFFF"/>
            <w:vAlign w:val="center"/>
            <w:hideMark/>
          </w:tcPr>
          <w:p w:rsidR="000A5319" w:rsidRPr="002D70DA" w:rsidRDefault="000A5319"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800" w:type="pct"/>
            <w:tcBorders>
              <w:top w:val="nil"/>
              <w:left w:val="single" w:sz="4" w:space="0" w:color="auto"/>
              <w:bottom w:val="single" w:sz="4" w:space="0" w:color="auto"/>
              <w:right w:val="single" w:sz="4" w:space="0" w:color="auto"/>
            </w:tcBorders>
            <w:shd w:val="clear" w:color="000000" w:fill="FFFFFF"/>
            <w:vAlign w:val="center"/>
          </w:tcPr>
          <w:p w:rsidR="000A5319" w:rsidRPr="002D70DA" w:rsidRDefault="000A5319" w:rsidP="00A92123">
            <w:pPr>
              <w:jc w:val="right"/>
              <w:rPr>
                <w:rFonts w:ascii="Arial" w:hAnsi="Arial" w:cs="Arial"/>
                <w:b/>
                <w:bCs/>
                <w:color w:val="000000"/>
                <w:sz w:val="17"/>
                <w:szCs w:val="17"/>
              </w:rPr>
            </w:pPr>
            <w:r w:rsidRPr="000A5319">
              <w:rPr>
                <w:rFonts w:ascii="Arial" w:hAnsi="Arial" w:cs="Arial"/>
                <w:b/>
                <w:bCs/>
                <w:color w:val="000000"/>
                <w:sz w:val="17"/>
                <w:szCs w:val="17"/>
                <w14:numForm w14:val="lining"/>
              </w:rPr>
              <w:t>12,487,347</w:t>
            </w:r>
          </w:p>
        </w:tc>
        <w:tc>
          <w:tcPr>
            <w:tcW w:w="800" w:type="pct"/>
            <w:tcBorders>
              <w:top w:val="nil"/>
              <w:left w:val="nil"/>
              <w:bottom w:val="single" w:sz="4" w:space="0" w:color="auto"/>
              <w:right w:val="single" w:sz="4" w:space="0" w:color="auto"/>
            </w:tcBorders>
            <w:shd w:val="clear" w:color="000000" w:fill="FFFFFF"/>
            <w:vAlign w:val="center"/>
          </w:tcPr>
          <w:p w:rsidR="000A5319" w:rsidRPr="002D70DA" w:rsidRDefault="000A5319" w:rsidP="00A92123">
            <w:pPr>
              <w:jc w:val="right"/>
              <w:rPr>
                <w:rFonts w:ascii="Arial" w:hAnsi="Arial" w:cs="Arial"/>
                <w:b/>
                <w:bCs/>
                <w:color w:val="000000"/>
                <w:sz w:val="17"/>
                <w:szCs w:val="17"/>
              </w:rPr>
            </w:pPr>
            <w:r w:rsidRPr="000A5319">
              <w:rPr>
                <w:rFonts w:ascii="Arial" w:hAnsi="Arial" w:cs="Arial"/>
                <w:b/>
                <w:bCs/>
                <w:color w:val="000000"/>
                <w:sz w:val="17"/>
                <w:szCs w:val="17"/>
                <w14:numForm w14:val="lining"/>
              </w:rPr>
              <w:t>27,227,835</w:t>
            </w:r>
          </w:p>
        </w:tc>
        <w:tc>
          <w:tcPr>
            <w:tcW w:w="800" w:type="pct"/>
            <w:tcBorders>
              <w:top w:val="nil"/>
              <w:left w:val="nil"/>
              <w:bottom w:val="nil"/>
              <w:right w:val="nil"/>
            </w:tcBorders>
            <w:shd w:val="clear" w:color="000000" w:fill="FFFFFF"/>
            <w:noWrap/>
            <w:vAlign w:val="bottom"/>
            <w:hideMark/>
          </w:tcPr>
          <w:p w:rsidR="000A5319" w:rsidRPr="002D70DA" w:rsidRDefault="000A5319"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799" w:type="pct"/>
            <w:tcBorders>
              <w:top w:val="nil"/>
              <w:left w:val="nil"/>
              <w:bottom w:val="nil"/>
              <w:right w:val="nil"/>
            </w:tcBorders>
            <w:shd w:val="clear" w:color="000000" w:fill="FFFFFF"/>
            <w:noWrap/>
            <w:vAlign w:val="bottom"/>
            <w:hideMark/>
          </w:tcPr>
          <w:p w:rsidR="000A5319" w:rsidRPr="002D70DA" w:rsidRDefault="000A5319" w:rsidP="00A92123">
            <w:pPr>
              <w:rPr>
                <w:rFonts w:ascii="Arial" w:hAnsi="Arial" w:cs="Arial"/>
                <w:color w:val="000000"/>
                <w:sz w:val="17"/>
                <w:szCs w:val="17"/>
              </w:rPr>
            </w:pPr>
            <w:r w:rsidRPr="002D70DA">
              <w:rPr>
                <w:rFonts w:ascii="Arial" w:hAnsi="Arial" w:cs="Arial"/>
                <w:color w:val="000000"/>
                <w:sz w:val="17"/>
                <w:szCs w:val="17"/>
              </w:rPr>
              <w:t> </w:t>
            </w:r>
          </w:p>
        </w:tc>
      </w:tr>
    </w:tbl>
    <w:p w:rsidR="00A10F30" w:rsidRDefault="00A10F30" w:rsidP="006335BE">
      <w:pPr>
        <w:spacing w:before="80" w:line="250" w:lineRule="exact"/>
        <w:ind w:left="709"/>
        <w:jc w:val="both"/>
        <w:rPr>
          <w:rFonts w:ascii="Arial" w:eastAsia="Calibri" w:hAnsi="Arial" w:cs="Arial"/>
          <w:spacing w:val="-1"/>
          <w:sz w:val="17"/>
          <w:szCs w:val="17"/>
        </w:rPr>
      </w:pPr>
    </w:p>
    <w:p w:rsidR="00D718EB" w:rsidRDefault="00B8461B" w:rsidP="004B30C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A10F30">
        <w:rPr>
          <w:rFonts w:ascii="Arial" w:eastAsia="Calibri" w:hAnsi="Arial" w:cs="Arial"/>
          <w:spacing w:val="-1"/>
          <w:sz w:val="17"/>
          <w:szCs w:val="17"/>
        </w:rPr>
        <w:t xml:space="preserve">el saldo de la cuenta </w:t>
      </w:r>
      <w:r w:rsidR="00A10F30" w:rsidRPr="00A10F30">
        <w:rPr>
          <w:rFonts w:ascii="Arial" w:eastAsia="Calibri" w:hAnsi="Arial" w:cs="Arial"/>
          <w:spacing w:val="-1"/>
          <w:sz w:val="17"/>
          <w:szCs w:val="17"/>
        </w:rPr>
        <w:t>Deterioro Acumulado de Activos Biológicos</w:t>
      </w:r>
      <w:r w:rsidR="00A10F30">
        <w:rPr>
          <w:rFonts w:ascii="Arial" w:eastAsia="Calibri" w:hAnsi="Arial" w:cs="Arial"/>
          <w:spacing w:val="-1"/>
          <w:sz w:val="17"/>
          <w:szCs w:val="17"/>
        </w:rPr>
        <w:t xml:space="preserve">, que al cierre </w:t>
      </w:r>
      <w:r w:rsidRPr="002D70DA">
        <w:rPr>
          <w:rFonts w:ascii="Arial" w:eastAsia="Calibri" w:hAnsi="Arial" w:cs="Arial"/>
          <w:spacing w:val="-1"/>
          <w:sz w:val="17"/>
          <w:szCs w:val="17"/>
        </w:rPr>
        <w:t>de</w:t>
      </w:r>
      <w:r w:rsidR="00A10F30">
        <w:rPr>
          <w:rFonts w:ascii="Arial" w:eastAsia="Calibri" w:hAnsi="Arial" w:cs="Arial"/>
          <w:spacing w:val="-1"/>
          <w:sz w:val="17"/>
          <w:szCs w:val="17"/>
        </w:rPr>
        <w:t xml:space="preserve">l ejercicio 2016, es de </w:t>
      </w:r>
      <w:r w:rsidR="00A10F30" w:rsidRPr="00A10F30">
        <w:rPr>
          <w:rFonts w:ascii="Arial" w:eastAsia="Calibri" w:hAnsi="Arial" w:cs="Arial"/>
          <w:spacing w:val="-1"/>
          <w:sz w:val="17"/>
          <w:szCs w:val="17"/>
        </w:rPr>
        <w:t>41</w:t>
      </w:r>
      <w:r w:rsidR="00A10F30">
        <w:rPr>
          <w:rFonts w:ascii="Arial" w:eastAsia="Calibri" w:hAnsi="Arial" w:cs="Arial"/>
          <w:spacing w:val="-1"/>
          <w:sz w:val="17"/>
          <w:szCs w:val="17"/>
        </w:rPr>
        <w:t>,</w:t>
      </w:r>
      <w:r w:rsidR="00A10F30" w:rsidRPr="00A10F30">
        <w:rPr>
          <w:rFonts w:ascii="Arial" w:eastAsia="Calibri" w:hAnsi="Arial" w:cs="Arial"/>
          <w:spacing w:val="-1"/>
          <w:sz w:val="17"/>
          <w:szCs w:val="17"/>
        </w:rPr>
        <w:t>39</w:t>
      </w:r>
      <w:r w:rsidR="00A10F30">
        <w:rPr>
          <w:rFonts w:ascii="Arial" w:eastAsia="Calibri" w:hAnsi="Arial" w:cs="Arial"/>
          <w:spacing w:val="-1"/>
          <w:sz w:val="17"/>
          <w:szCs w:val="17"/>
        </w:rPr>
        <w:t>4</w:t>
      </w:r>
    </w:p>
    <w:p w:rsidR="00B8461B" w:rsidRDefault="00B8461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307FA8"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307FA8">
        <w:rPr>
          <w:rFonts w:ascii="Arial" w:eastAsia="Calibri" w:hAnsi="Arial" w:cs="Arial"/>
          <w:spacing w:val="-1"/>
          <w:sz w:val="17"/>
          <w:szCs w:val="17"/>
        </w:rPr>
        <w:t xml:space="preserve">que al cierre del ejercicio 2016, el saldo del rubro </w:t>
      </w:r>
      <w:r w:rsidR="00307FA8" w:rsidRPr="00307FA8">
        <w:rPr>
          <w:rFonts w:ascii="Arial" w:eastAsia="Calibri" w:hAnsi="Arial" w:cs="Arial"/>
          <w:spacing w:val="-1"/>
          <w:sz w:val="17"/>
          <w:szCs w:val="17"/>
        </w:rPr>
        <w:t>Estimación por Pérdida o Deterioro de Activos no Circulantes</w:t>
      </w:r>
      <w:r w:rsidR="00307FA8">
        <w:rPr>
          <w:rFonts w:ascii="Arial" w:eastAsia="Calibri" w:hAnsi="Arial" w:cs="Arial"/>
          <w:spacing w:val="-1"/>
          <w:sz w:val="17"/>
          <w:szCs w:val="17"/>
        </w:rPr>
        <w:t xml:space="preserve"> es de 0.00</w:t>
      </w:r>
    </w:p>
    <w:p w:rsidR="006B1D2C" w:rsidRDefault="006B1D2C">
      <w:pPr>
        <w:rPr>
          <w:rFonts w:ascii="Arial" w:eastAsia="Calibri" w:hAnsi="Arial" w:cs="Arial"/>
          <w:b/>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942B5C" w:rsidRDefault="000665BD" w:rsidP="00B811F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saldo que se presenta en la cuenta corresponde a bienes dados en comodato a diversos </w:t>
      </w:r>
      <w:r w:rsidRPr="00DE7062">
        <w:rPr>
          <w:rFonts w:ascii="Arial" w:eastAsia="Calibri" w:hAnsi="Arial" w:cs="Arial"/>
          <w:spacing w:val="-1"/>
          <w:sz w:val="17"/>
          <w:szCs w:val="17"/>
        </w:rPr>
        <w:t>organismos</w:t>
      </w:r>
      <w:r w:rsidR="00C9098B">
        <w:rPr>
          <w:rFonts w:ascii="Arial" w:eastAsia="Calibri" w:hAnsi="Arial" w:cs="Arial"/>
          <w:spacing w:val="-1"/>
          <w:sz w:val="17"/>
          <w:szCs w:val="17"/>
        </w:rPr>
        <w:t>, esta cuenta se encuentra en proceso de análisis.</w:t>
      </w:r>
    </w:p>
    <w:p w:rsidR="003A5A84" w:rsidRDefault="003A5A84" w:rsidP="001749D4">
      <w:pPr>
        <w:autoSpaceDE w:val="0"/>
        <w:autoSpaceDN w:val="0"/>
        <w:adjustRightInd w:val="0"/>
        <w:spacing w:before="240" w:after="120"/>
        <w:jc w:val="both"/>
        <w:rPr>
          <w:rFonts w:ascii="Arial" w:eastAsia="Calibri" w:hAnsi="Arial" w:cs="Arial"/>
          <w:b/>
          <w:spacing w:val="-1"/>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el monto al 31 de diciembre del 2016</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2723B2">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1A0060" w:rsidP="001A0060">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Pr>
                <w:rFonts w:ascii="Arial" w:hAnsi="Arial" w:cs="Arial"/>
                <w:b/>
                <w:bCs/>
                <w:color w:val="000000"/>
                <w:sz w:val="17"/>
                <w:szCs w:val="17"/>
              </w:rPr>
              <w:t>2015</w:t>
            </w:r>
          </w:p>
        </w:tc>
      </w:tr>
      <w:tr w:rsidR="00A05A53"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rPr>
                <w:rFonts w:ascii="Arial" w:hAnsi="Arial" w:cs="Arial"/>
                <w:sz w:val="17"/>
                <w:szCs w:val="17"/>
              </w:rPr>
            </w:pPr>
            <w:r w:rsidRPr="00A05A53">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37,451,551 </w:t>
            </w:r>
          </w:p>
        </w:tc>
        <w:tc>
          <w:tcPr>
            <w:tcW w:w="2148"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36,623,098 </w:t>
            </w:r>
          </w:p>
        </w:tc>
      </w:tr>
      <w:tr w:rsidR="00A05A53"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rPr>
                <w:rFonts w:ascii="Arial" w:hAnsi="Arial" w:cs="Arial"/>
                <w:sz w:val="17"/>
                <w:szCs w:val="17"/>
              </w:rPr>
            </w:pPr>
            <w:r w:rsidRPr="00A05A53">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9,667,357 </w:t>
            </w:r>
          </w:p>
        </w:tc>
        <w:tc>
          <w:tcPr>
            <w:tcW w:w="2148"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14,681,754 </w:t>
            </w:r>
          </w:p>
        </w:tc>
      </w:tr>
      <w:tr w:rsidR="00A05A53"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rPr>
                <w:rFonts w:ascii="Arial" w:hAnsi="Arial" w:cs="Arial"/>
                <w:sz w:val="17"/>
                <w:szCs w:val="17"/>
              </w:rPr>
            </w:pPr>
            <w:r w:rsidRPr="00A05A53">
              <w:rPr>
                <w:rFonts w:ascii="Arial" w:hAnsi="Arial" w:cs="Arial"/>
                <w:sz w:val="17"/>
                <w:szCs w:val="17"/>
              </w:rPr>
              <w:t>Participaciones y Aportaciones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3,328,851 </w:t>
            </w:r>
          </w:p>
        </w:tc>
        <w:tc>
          <w:tcPr>
            <w:tcW w:w="2148"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128,468,694 </w:t>
            </w:r>
          </w:p>
        </w:tc>
      </w:tr>
      <w:tr w:rsidR="00A05A53"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rPr>
                <w:rFonts w:ascii="Arial" w:hAnsi="Arial" w:cs="Arial"/>
                <w:sz w:val="17"/>
                <w:szCs w:val="17"/>
              </w:rPr>
            </w:pPr>
            <w:r w:rsidRPr="00A05A53">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144,985,227 </w:t>
            </w:r>
          </w:p>
        </w:tc>
        <w:tc>
          <w:tcPr>
            <w:tcW w:w="2148"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138,415,485 </w:t>
            </w:r>
          </w:p>
        </w:tc>
      </w:tr>
      <w:tr w:rsidR="00A05A53"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rPr>
                <w:rFonts w:ascii="Arial" w:hAnsi="Arial" w:cs="Arial"/>
                <w:sz w:val="17"/>
                <w:szCs w:val="17"/>
              </w:rPr>
            </w:pPr>
            <w:r w:rsidRPr="00A05A53">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6,169,915 </w:t>
            </w:r>
          </w:p>
        </w:tc>
        <w:tc>
          <w:tcPr>
            <w:tcW w:w="2148"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-101,983 </w:t>
            </w:r>
          </w:p>
        </w:tc>
      </w:tr>
      <w:tr w:rsidR="00A05A53" w:rsidRPr="002D70DA" w:rsidTr="002723B2">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A05A53" w:rsidRPr="00A05A53" w:rsidRDefault="00A05A53" w:rsidP="00A05A53">
            <w:pPr>
              <w:rPr>
                <w:rFonts w:ascii="Arial" w:hAnsi="Arial" w:cs="Arial"/>
                <w:sz w:val="17"/>
                <w:szCs w:val="17"/>
              </w:rPr>
            </w:pPr>
            <w:r w:rsidRPr="00A05A53">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1,348,431 </w:t>
            </w:r>
          </w:p>
        </w:tc>
        <w:tc>
          <w:tcPr>
            <w:tcW w:w="2148" w:type="dxa"/>
            <w:tcBorders>
              <w:top w:val="nil"/>
              <w:left w:val="single" w:sz="4" w:space="0" w:color="auto"/>
              <w:bottom w:val="single" w:sz="4" w:space="0" w:color="auto"/>
              <w:right w:val="single" w:sz="4" w:space="0" w:color="auto"/>
            </w:tcBorders>
            <w:shd w:val="clear" w:color="auto" w:fill="auto"/>
          </w:tcPr>
          <w:p w:rsidR="00A05A53" w:rsidRPr="00A05A53" w:rsidRDefault="00A05A53" w:rsidP="00A05A53">
            <w:pPr>
              <w:jc w:val="right"/>
              <w:rPr>
                <w:rFonts w:ascii="Arial" w:hAnsi="Arial" w:cs="Arial"/>
                <w:sz w:val="17"/>
                <w:szCs w:val="17"/>
              </w:rPr>
            </w:pPr>
            <w:r w:rsidRPr="00A05A53">
              <w:rPr>
                <w:rFonts w:ascii="Arial" w:hAnsi="Arial" w:cs="Arial"/>
                <w:sz w:val="17"/>
                <w:szCs w:val="17"/>
              </w:rPr>
              <w:t xml:space="preserve">947,968 </w:t>
            </w:r>
          </w:p>
        </w:tc>
      </w:tr>
      <w:tr w:rsidR="001A0060" w:rsidRPr="002D70DA" w:rsidTr="002723B2">
        <w:trPr>
          <w:trHeight w:val="240"/>
          <w:jc w:val="center"/>
        </w:trPr>
        <w:tc>
          <w:tcPr>
            <w:tcW w:w="4743" w:type="dxa"/>
            <w:tcBorders>
              <w:top w:val="single" w:sz="4" w:space="0" w:color="auto"/>
              <w:right w:val="single" w:sz="4" w:space="0" w:color="auto"/>
            </w:tcBorders>
            <w:shd w:val="clear" w:color="auto" w:fill="auto"/>
            <w:vAlign w:val="center"/>
          </w:tcPr>
          <w:p w:rsidR="001A0060" w:rsidRPr="00F93CE5" w:rsidRDefault="001A0060" w:rsidP="002723B2">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1A0060" w:rsidRPr="00C90054" w:rsidRDefault="00A05A53" w:rsidP="001A0060">
            <w:pPr>
              <w:jc w:val="right"/>
              <w:rPr>
                <w:rFonts w:ascii="Arial" w:hAnsi="Arial" w:cs="Arial"/>
                <w:b/>
                <w:bCs/>
                <w:color w:val="000000"/>
                <w:sz w:val="17"/>
                <w:szCs w:val="17"/>
              </w:rPr>
            </w:pPr>
            <w:r w:rsidRPr="00A05A53">
              <w:rPr>
                <w:rFonts w:ascii="Arial" w:hAnsi="Arial" w:cs="Arial"/>
                <w:b/>
                <w:bCs/>
                <w:color w:val="000000"/>
                <w:sz w:val="17"/>
                <w:szCs w:val="17"/>
              </w:rPr>
              <w:t>202,951,331</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1A0060" w:rsidRPr="00C90054" w:rsidRDefault="00A05A53" w:rsidP="001A0060">
            <w:pPr>
              <w:jc w:val="right"/>
              <w:rPr>
                <w:rFonts w:ascii="Arial" w:hAnsi="Arial" w:cs="Arial"/>
                <w:b/>
                <w:bCs/>
                <w:color w:val="000000"/>
                <w:sz w:val="17"/>
                <w:szCs w:val="17"/>
              </w:rPr>
            </w:pPr>
            <w:r w:rsidRPr="00A05A53">
              <w:rPr>
                <w:rFonts w:ascii="Arial" w:hAnsi="Arial" w:cs="Arial"/>
                <w:b/>
                <w:bCs/>
                <w:color w:val="000000"/>
                <w:sz w:val="17"/>
                <w:szCs w:val="17"/>
              </w:rPr>
              <w:t>319,035,016</w:t>
            </w:r>
          </w:p>
        </w:tc>
      </w:tr>
    </w:tbl>
    <w:p w:rsidR="001A0060" w:rsidRDefault="001A0060" w:rsidP="00BF21A9">
      <w:pPr>
        <w:spacing w:before="80" w:line="250" w:lineRule="exact"/>
        <w:ind w:left="709"/>
        <w:jc w:val="both"/>
        <w:rPr>
          <w:rFonts w:ascii="Arial" w:eastAsia="Calibri" w:hAnsi="Arial" w:cs="Arial"/>
          <w:spacing w:val="-1"/>
          <w:sz w:val="17"/>
          <w:szCs w:val="17"/>
        </w:rPr>
      </w:pPr>
    </w:p>
    <w:p w:rsidR="006346C3" w:rsidRDefault="006346C3" w:rsidP="006C17A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comenta que para el ejercicio que se informa y en apego al devengado pendiente de pago del </w:t>
      </w:r>
      <w:r w:rsidRPr="002A13AC">
        <w:rPr>
          <w:rFonts w:ascii="Arial" w:eastAsia="Calibri" w:hAnsi="Arial" w:cs="Arial"/>
          <w:spacing w:val="-1"/>
          <w:sz w:val="17"/>
          <w:szCs w:val="17"/>
        </w:rPr>
        <w:t>Fondo de Aportaciones para la Nómina Edu</w:t>
      </w:r>
      <w:r>
        <w:rPr>
          <w:rFonts w:ascii="Arial" w:eastAsia="Calibri" w:hAnsi="Arial" w:cs="Arial"/>
          <w:spacing w:val="-1"/>
          <w:sz w:val="17"/>
          <w:szCs w:val="17"/>
        </w:rPr>
        <w:t>cativa y Gasto Operativo (FONE) informado por la Secretaría de Educación Pública, est</w:t>
      </w:r>
      <w:r w:rsidR="00691BFC">
        <w:rPr>
          <w:rFonts w:ascii="Arial" w:eastAsia="Calibri" w:hAnsi="Arial" w:cs="Arial"/>
          <w:spacing w:val="-1"/>
          <w:sz w:val="17"/>
          <w:szCs w:val="17"/>
        </w:rPr>
        <w:t>e</w:t>
      </w:r>
      <w:r>
        <w:rPr>
          <w:rFonts w:ascii="Arial" w:eastAsia="Calibri" w:hAnsi="Arial" w:cs="Arial"/>
          <w:spacing w:val="-1"/>
          <w:sz w:val="17"/>
          <w:szCs w:val="17"/>
        </w:rPr>
        <w:t xml:space="preserve"> se redujo en un 9</w:t>
      </w:r>
      <w:r w:rsidR="00691BFC">
        <w:rPr>
          <w:rFonts w:ascii="Arial" w:eastAsia="Calibri" w:hAnsi="Arial" w:cs="Arial"/>
          <w:spacing w:val="-1"/>
          <w:sz w:val="17"/>
          <w:szCs w:val="17"/>
        </w:rPr>
        <w:t>7.</w:t>
      </w:r>
      <w:r w:rsidR="0064465C">
        <w:rPr>
          <w:rFonts w:ascii="Arial" w:eastAsia="Calibri" w:hAnsi="Arial" w:cs="Arial"/>
          <w:spacing w:val="-1"/>
          <w:sz w:val="17"/>
          <w:szCs w:val="17"/>
        </w:rPr>
        <w:t>4</w:t>
      </w:r>
      <w:r>
        <w:rPr>
          <w:rFonts w:ascii="Arial" w:eastAsia="Calibri" w:hAnsi="Arial" w:cs="Arial"/>
          <w:spacing w:val="-1"/>
          <w:sz w:val="17"/>
          <w:szCs w:val="17"/>
        </w:rPr>
        <w:t>%, pasando de 1</w:t>
      </w:r>
      <w:r w:rsidR="0064465C">
        <w:rPr>
          <w:rFonts w:ascii="Arial" w:eastAsia="Calibri" w:hAnsi="Arial" w:cs="Arial"/>
          <w:spacing w:val="-1"/>
          <w:sz w:val="17"/>
          <w:szCs w:val="17"/>
        </w:rPr>
        <w:t>28</w:t>
      </w:r>
      <w:r>
        <w:rPr>
          <w:rFonts w:ascii="Arial" w:eastAsia="Calibri" w:hAnsi="Arial" w:cs="Arial"/>
          <w:spacing w:val="-1"/>
          <w:sz w:val="17"/>
          <w:szCs w:val="17"/>
        </w:rPr>
        <w:t>,</w:t>
      </w:r>
      <w:r w:rsidR="0064465C">
        <w:rPr>
          <w:rFonts w:ascii="Arial" w:eastAsia="Calibri" w:hAnsi="Arial" w:cs="Arial"/>
          <w:spacing w:val="-1"/>
          <w:sz w:val="17"/>
          <w:szCs w:val="17"/>
        </w:rPr>
        <w:t>468</w:t>
      </w:r>
      <w:r>
        <w:rPr>
          <w:rFonts w:ascii="Arial" w:eastAsia="Calibri" w:hAnsi="Arial" w:cs="Arial"/>
          <w:spacing w:val="-1"/>
          <w:sz w:val="17"/>
          <w:szCs w:val="17"/>
        </w:rPr>
        <w:t>,</w:t>
      </w:r>
      <w:r w:rsidR="0064465C">
        <w:rPr>
          <w:rFonts w:ascii="Arial" w:eastAsia="Calibri" w:hAnsi="Arial" w:cs="Arial"/>
          <w:spacing w:val="-1"/>
          <w:sz w:val="17"/>
          <w:szCs w:val="17"/>
        </w:rPr>
        <w:t>693</w:t>
      </w:r>
      <w:r>
        <w:rPr>
          <w:rFonts w:ascii="Arial" w:eastAsia="Calibri" w:hAnsi="Arial" w:cs="Arial"/>
          <w:spacing w:val="-1"/>
          <w:sz w:val="17"/>
          <w:szCs w:val="17"/>
        </w:rPr>
        <w:t>.7</w:t>
      </w:r>
      <w:r w:rsidR="0064465C">
        <w:rPr>
          <w:rFonts w:ascii="Arial" w:eastAsia="Calibri" w:hAnsi="Arial" w:cs="Arial"/>
          <w:spacing w:val="-1"/>
          <w:sz w:val="17"/>
          <w:szCs w:val="17"/>
        </w:rPr>
        <w:t>3</w:t>
      </w:r>
      <w:r>
        <w:rPr>
          <w:rFonts w:ascii="Arial" w:eastAsia="Calibri" w:hAnsi="Arial" w:cs="Arial"/>
          <w:spacing w:val="-1"/>
          <w:sz w:val="17"/>
          <w:szCs w:val="17"/>
        </w:rPr>
        <w:t xml:space="preserve"> al cierre del 2015 a </w:t>
      </w:r>
      <w:r w:rsidR="00691BFC">
        <w:rPr>
          <w:rFonts w:ascii="Arial" w:eastAsia="Calibri" w:hAnsi="Arial" w:cs="Arial"/>
          <w:spacing w:val="-1"/>
          <w:sz w:val="17"/>
          <w:szCs w:val="17"/>
        </w:rPr>
        <w:t>3</w:t>
      </w:r>
      <w:r>
        <w:rPr>
          <w:rFonts w:ascii="Arial" w:eastAsia="Calibri" w:hAnsi="Arial" w:cs="Arial"/>
          <w:spacing w:val="-1"/>
          <w:sz w:val="17"/>
          <w:szCs w:val="17"/>
        </w:rPr>
        <w:t>,</w:t>
      </w:r>
      <w:r w:rsidR="00691BFC">
        <w:rPr>
          <w:rFonts w:ascii="Arial" w:eastAsia="Calibri" w:hAnsi="Arial" w:cs="Arial"/>
          <w:spacing w:val="-1"/>
          <w:sz w:val="17"/>
          <w:szCs w:val="17"/>
        </w:rPr>
        <w:t>328</w:t>
      </w:r>
      <w:r>
        <w:rPr>
          <w:rFonts w:ascii="Arial" w:eastAsia="Calibri" w:hAnsi="Arial" w:cs="Arial"/>
          <w:spacing w:val="-1"/>
          <w:sz w:val="17"/>
          <w:szCs w:val="17"/>
        </w:rPr>
        <w:t>,</w:t>
      </w:r>
      <w:r w:rsidR="00691BFC">
        <w:rPr>
          <w:rFonts w:ascii="Arial" w:eastAsia="Calibri" w:hAnsi="Arial" w:cs="Arial"/>
          <w:spacing w:val="-1"/>
          <w:sz w:val="17"/>
          <w:szCs w:val="17"/>
        </w:rPr>
        <w:t>850</w:t>
      </w:r>
      <w:r>
        <w:rPr>
          <w:rFonts w:ascii="Arial" w:eastAsia="Calibri" w:hAnsi="Arial" w:cs="Arial"/>
          <w:spacing w:val="-1"/>
          <w:sz w:val="17"/>
          <w:szCs w:val="17"/>
        </w:rPr>
        <w:t>.</w:t>
      </w:r>
      <w:r w:rsidR="00691BFC">
        <w:rPr>
          <w:rFonts w:ascii="Arial" w:eastAsia="Calibri" w:hAnsi="Arial" w:cs="Arial"/>
          <w:spacing w:val="-1"/>
          <w:sz w:val="17"/>
          <w:szCs w:val="17"/>
        </w:rPr>
        <w:t>72</w:t>
      </w:r>
      <w:r>
        <w:rPr>
          <w:rFonts w:ascii="Arial" w:eastAsia="Calibri" w:hAnsi="Arial" w:cs="Arial"/>
          <w:spacing w:val="-1"/>
          <w:sz w:val="17"/>
          <w:szCs w:val="17"/>
        </w:rPr>
        <w:t xml:space="preserve"> al cierre del 2016.</w:t>
      </w:r>
    </w:p>
    <w:p w:rsidR="001A0060" w:rsidRDefault="001A0060" w:rsidP="006C17A5">
      <w:pPr>
        <w:spacing w:before="80" w:line="250" w:lineRule="exact"/>
        <w:ind w:left="709"/>
        <w:jc w:val="both"/>
        <w:rPr>
          <w:rFonts w:ascii="Arial" w:eastAsia="Calibri" w:hAnsi="Arial" w:cs="Arial"/>
          <w:spacing w:val="-1"/>
          <w:sz w:val="17"/>
          <w:szCs w:val="17"/>
        </w:rPr>
      </w:pPr>
    </w:p>
    <w:p w:rsidR="00B306A0" w:rsidRDefault="005E1616" w:rsidP="006C17A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presenta </w:t>
      </w:r>
      <w:r w:rsidR="004B310C">
        <w:rPr>
          <w:rFonts w:ascii="Arial" w:eastAsia="Calibri" w:hAnsi="Arial" w:cs="Arial"/>
          <w:spacing w:val="-1"/>
          <w:sz w:val="17"/>
          <w:szCs w:val="17"/>
        </w:rPr>
        <w:t xml:space="preserve">la integración de la cuenta </w:t>
      </w:r>
      <w:r w:rsidR="004B310C" w:rsidRPr="004B310C">
        <w:rPr>
          <w:rFonts w:ascii="Arial" w:eastAsia="Calibri" w:hAnsi="Arial" w:cs="Arial"/>
          <w:spacing w:val="-1"/>
          <w:sz w:val="17"/>
          <w:szCs w:val="17"/>
        </w:rPr>
        <w:t>Proveedores por Pagar a Corto Plazo</w:t>
      </w:r>
      <w:r w:rsidR="004B310C">
        <w:rPr>
          <w:rFonts w:ascii="Arial" w:eastAsia="Calibri" w:hAnsi="Arial" w:cs="Arial"/>
          <w:spacing w:val="-1"/>
          <w:sz w:val="17"/>
          <w:szCs w:val="17"/>
        </w:rPr>
        <w:t>:</w:t>
      </w:r>
    </w:p>
    <w:p w:rsidR="00CB402D" w:rsidRPr="005540CE" w:rsidRDefault="00CB402D" w:rsidP="00CB402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6834" w:type="dxa"/>
        <w:jc w:val="center"/>
        <w:tblCellMar>
          <w:left w:w="70" w:type="dxa"/>
          <w:right w:w="70" w:type="dxa"/>
        </w:tblCellMar>
        <w:tblLook w:val="04A0" w:firstRow="1" w:lastRow="0" w:firstColumn="1" w:lastColumn="0" w:noHBand="0" w:noVBand="1"/>
      </w:tblPr>
      <w:tblGrid>
        <w:gridCol w:w="4743"/>
        <w:gridCol w:w="2091"/>
      </w:tblGrid>
      <w:tr w:rsidR="005E1616" w:rsidRPr="002D70DA" w:rsidTr="00904F9F">
        <w:trPr>
          <w:trHeight w:val="311"/>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E1616" w:rsidRPr="002D70DA" w:rsidRDefault="005E1616"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5E1616" w:rsidRPr="002D70DA" w:rsidRDefault="005E1616" w:rsidP="00603D16">
            <w:pPr>
              <w:jc w:val="center"/>
              <w:rPr>
                <w:rFonts w:ascii="Arial" w:hAnsi="Arial" w:cs="Arial"/>
                <w:b/>
                <w:bCs/>
                <w:color w:val="000000"/>
                <w:sz w:val="17"/>
                <w:szCs w:val="17"/>
              </w:rPr>
            </w:pPr>
            <w:r>
              <w:rPr>
                <w:rFonts w:ascii="Arial" w:hAnsi="Arial" w:cs="Arial"/>
                <w:b/>
                <w:bCs/>
                <w:color w:val="000000"/>
                <w:sz w:val="17"/>
                <w:szCs w:val="17"/>
              </w:rPr>
              <w:t>Monto</w:t>
            </w:r>
          </w:p>
        </w:tc>
      </w:tr>
      <w:tr w:rsidR="005E1616" w:rsidRPr="00A05A53" w:rsidTr="002A622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E1616" w:rsidRPr="00A05A53" w:rsidRDefault="005E1616" w:rsidP="00603D16">
            <w:pPr>
              <w:rPr>
                <w:rFonts w:ascii="Arial" w:hAnsi="Arial" w:cs="Arial"/>
                <w:sz w:val="17"/>
                <w:szCs w:val="17"/>
              </w:rPr>
            </w:pPr>
            <w:r w:rsidRPr="005E1616">
              <w:rPr>
                <w:rFonts w:ascii="Arial" w:hAnsi="Arial" w:cs="Arial"/>
                <w:sz w:val="17"/>
                <w:szCs w:val="17"/>
              </w:rPr>
              <w:t xml:space="preserve">Software </w:t>
            </w:r>
            <w:r>
              <w:rPr>
                <w:rFonts w:ascii="Arial" w:hAnsi="Arial" w:cs="Arial"/>
                <w:sz w:val="17"/>
                <w:szCs w:val="17"/>
              </w:rPr>
              <w:t>DSI</w:t>
            </w:r>
            <w:r w:rsidRPr="005E1616">
              <w:rPr>
                <w:rFonts w:ascii="Arial" w:hAnsi="Arial" w:cs="Arial"/>
                <w:sz w:val="17"/>
                <w:szCs w:val="17"/>
              </w:rPr>
              <w:t xml:space="preserve"> </w:t>
            </w:r>
            <w:r>
              <w:rPr>
                <w:rFonts w:ascii="Arial" w:hAnsi="Arial" w:cs="Arial"/>
                <w:sz w:val="17"/>
                <w:szCs w:val="17"/>
              </w:rPr>
              <w:t>S.A</w:t>
            </w:r>
            <w:r w:rsidRPr="005E1616">
              <w:rPr>
                <w:rFonts w:ascii="Arial" w:hAnsi="Arial" w:cs="Arial"/>
                <w:sz w:val="17"/>
                <w:szCs w:val="17"/>
              </w:rPr>
              <w:t xml:space="preserve"> de </w:t>
            </w:r>
            <w:r>
              <w:rPr>
                <w:rFonts w:ascii="Arial" w:hAnsi="Arial" w:cs="Arial"/>
                <w:sz w:val="17"/>
                <w:szCs w:val="17"/>
              </w:rPr>
              <w:t>C.V.</w:t>
            </w:r>
          </w:p>
        </w:tc>
        <w:tc>
          <w:tcPr>
            <w:tcW w:w="2091" w:type="dxa"/>
            <w:tcBorders>
              <w:top w:val="single" w:sz="4" w:space="0" w:color="auto"/>
              <w:left w:val="nil"/>
              <w:bottom w:val="single" w:sz="4" w:space="0" w:color="auto"/>
              <w:right w:val="single" w:sz="4" w:space="0" w:color="auto"/>
            </w:tcBorders>
            <w:shd w:val="clear" w:color="auto" w:fill="auto"/>
          </w:tcPr>
          <w:p w:rsidR="005E1616" w:rsidRPr="00A05A53" w:rsidRDefault="00B24964" w:rsidP="00603D16">
            <w:pPr>
              <w:jc w:val="right"/>
              <w:rPr>
                <w:rFonts w:ascii="Arial" w:hAnsi="Arial" w:cs="Arial"/>
                <w:sz w:val="17"/>
                <w:szCs w:val="17"/>
              </w:rPr>
            </w:pPr>
            <w:r w:rsidRPr="00B24964">
              <w:rPr>
                <w:rFonts w:ascii="Arial" w:hAnsi="Arial" w:cs="Arial"/>
                <w:sz w:val="17"/>
                <w:szCs w:val="17"/>
              </w:rPr>
              <w:t>4,480,210</w:t>
            </w:r>
          </w:p>
        </w:tc>
      </w:tr>
      <w:tr w:rsidR="005E1616" w:rsidRPr="00A05A53" w:rsidTr="002A622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E1616" w:rsidRPr="00A05A53" w:rsidRDefault="00B24964" w:rsidP="00603D16">
            <w:pPr>
              <w:rPr>
                <w:rFonts w:ascii="Arial" w:hAnsi="Arial" w:cs="Arial"/>
                <w:sz w:val="17"/>
                <w:szCs w:val="17"/>
              </w:rPr>
            </w:pPr>
            <w:r w:rsidRPr="00B24964">
              <w:rPr>
                <w:rFonts w:ascii="Arial" w:hAnsi="Arial" w:cs="Arial"/>
                <w:sz w:val="17"/>
                <w:szCs w:val="17"/>
              </w:rPr>
              <w:t>Cheques pagados y no cobrados</w:t>
            </w:r>
          </w:p>
        </w:tc>
        <w:tc>
          <w:tcPr>
            <w:tcW w:w="2091" w:type="dxa"/>
            <w:tcBorders>
              <w:top w:val="single" w:sz="4" w:space="0" w:color="auto"/>
              <w:left w:val="nil"/>
              <w:bottom w:val="single" w:sz="4" w:space="0" w:color="auto"/>
              <w:right w:val="single" w:sz="4" w:space="0" w:color="auto"/>
            </w:tcBorders>
            <w:shd w:val="clear" w:color="auto" w:fill="auto"/>
          </w:tcPr>
          <w:p w:rsidR="005E1616" w:rsidRPr="00A05A53" w:rsidRDefault="00B24964" w:rsidP="00603D16">
            <w:pPr>
              <w:jc w:val="right"/>
              <w:rPr>
                <w:rFonts w:ascii="Arial" w:hAnsi="Arial" w:cs="Arial"/>
                <w:sz w:val="17"/>
                <w:szCs w:val="17"/>
              </w:rPr>
            </w:pPr>
            <w:r w:rsidRPr="00B24964">
              <w:rPr>
                <w:rFonts w:ascii="Arial" w:hAnsi="Arial" w:cs="Arial"/>
                <w:sz w:val="17"/>
                <w:szCs w:val="17"/>
              </w:rPr>
              <w:t>1,345,831</w:t>
            </w:r>
          </w:p>
        </w:tc>
      </w:tr>
      <w:tr w:rsidR="005E1616" w:rsidRPr="00A05A53" w:rsidTr="002A622C">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5E1616" w:rsidRPr="00A05A53" w:rsidRDefault="00B24964" w:rsidP="00603D16">
            <w:pPr>
              <w:rPr>
                <w:rFonts w:ascii="Arial" w:hAnsi="Arial" w:cs="Arial"/>
                <w:sz w:val="17"/>
                <w:szCs w:val="17"/>
              </w:rPr>
            </w:pPr>
            <w:r>
              <w:rPr>
                <w:rFonts w:ascii="Arial" w:hAnsi="Arial" w:cs="Arial"/>
                <w:sz w:val="17"/>
                <w:szCs w:val="17"/>
              </w:rPr>
              <w:t>Devengado pendiente de pago</w:t>
            </w:r>
          </w:p>
        </w:tc>
        <w:tc>
          <w:tcPr>
            <w:tcW w:w="2091" w:type="dxa"/>
            <w:tcBorders>
              <w:top w:val="single" w:sz="4" w:space="0" w:color="auto"/>
              <w:left w:val="nil"/>
              <w:bottom w:val="single" w:sz="4" w:space="0" w:color="auto"/>
              <w:right w:val="single" w:sz="4" w:space="0" w:color="auto"/>
            </w:tcBorders>
            <w:shd w:val="clear" w:color="auto" w:fill="auto"/>
          </w:tcPr>
          <w:p w:rsidR="005E1616" w:rsidRPr="00A05A53" w:rsidRDefault="00B24964" w:rsidP="00603D16">
            <w:pPr>
              <w:jc w:val="right"/>
              <w:rPr>
                <w:rFonts w:ascii="Arial" w:hAnsi="Arial" w:cs="Arial"/>
                <w:sz w:val="17"/>
                <w:szCs w:val="17"/>
              </w:rPr>
            </w:pPr>
            <w:r w:rsidRPr="00B24964">
              <w:rPr>
                <w:rFonts w:ascii="Arial" w:hAnsi="Arial" w:cs="Arial"/>
                <w:sz w:val="17"/>
                <w:szCs w:val="17"/>
              </w:rPr>
              <w:t>3,841,315</w:t>
            </w:r>
          </w:p>
        </w:tc>
      </w:tr>
      <w:tr w:rsidR="005E1616" w:rsidRPr="00C90054" w:rsidTr="002A622C">
        <w:trPr>
          <w:trHeight w:val="240"/>
          <w:jc w:val="center"/>
        </w:trPr>
        <w:tc>
          <w:tcPr>
            <w:tcW w:w="4743" w:type="dxa"/>
            <w:tcBorders>
              <w:top w:val="single" w:sz="4" w:space="0" w:color="auto"/>
              <w:right w:val="single" w:sz="4" w:space="0" w:color="auto"/>
            </w:tcBorders>
            <w:shd w:val="clear" w:color="auto" w:fill="auto"/>
            <w:vAlign w:val="center"/>
          </w:tcPr>
          <w:p w:rsidR="005E1616" w:rsidRPr="00F93CE5" w:rsidRDefault="005E1616" w:rsidP="002A622C">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5E1616" w:rsidRPr="00C90054" w:rsidRDefault="0038439D" w:rsidP="00603D16">
            <w:pPr>
              <w:jc w:val="right"/>
              <w:rPr>
                <w:rFonts w:ascii="Arial" w:hAnsi="Arial" w:cs="Arial"/>
                <w:b/>
                <w:bCs/>
                <w:color w:val="000000"/>
                <w:sz w:val="17"/>
                <w:szCs w:val="17"/>
              </w:rPr>
            </w:pPr>
            <w:r w:rsidRPr="0038439D">
              <w:rPr>
                <w:rFonts w:ascii="Arial" w:hAnsi="Arial" w:cs="Arial"/>
                <w:b/>
                <w:bCs/>
                <w:color w:val="000000"/>
                <w:sz w:val="17"/>
                <w:szCs w:val="17"/>
              </w:rPr>
              <w:t>9,667,357</w:t>
            </w:r>
          </w:p>
        </w:tc>
      </w:tr>
    </w:tbl>
    <w:p w:rsidR="00B46F0E" w:rsidRDefault="00B46F0E" w:rsidP="00B46F0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Se informa dentro del pasivo circulante la obligación de pago para el siguiente ejercicio fiscal de la deuda </w:t>
      </w:r>
      <w:r w:rsidRPr="00B46F0E">
        <w:rPr>
          <w:rFonts w:ascii="Arial" w:eastAsia="Calibri" w:hAnsi="Arial" w:cs="Arial"/>
          <w:spacing w:val="-1"/>
          <w:sz w:val="17"/>
          <w:szCs w:val="17"/>
        </w:rPr>
        <w:t>según el calendario de pagos con BBVA</w:t>
      </w:r>
      <w:r>
        <w:rPr>
          <w:rFonts w:ascii="Arial" w:eastAsia="Calibri" w:hAnsi="Arial" w:cs="Arial"/>
          <w:spacing w:val="-1"/>
          <w:sz w:val="17"/>
          <w:szCs w:val="17"/>
        </w:rPr>
        <w:t xml:space="preserve"> por un importe de </w:t>
      </w:r>
      <w:r w:rsidRPr="00B46F0E">
        <w:rPr>
          <w:rFonts w:ascii="Arial" w:eastAsia="Calibri" w:hAnsi="Arial" w:cs="Arial"/>
          <w:spacing w:val="-1"/>
          <w:sz w:val="17"/>
          <w:szCs w:val="17"/>
        </w:rPr>
        <w:t>48,227,422</w:t>
      </w:r>
      <w:r>
        <w:rPr>
          <w:rFonts w:ascii="Arial" w:eastAsia="Calibri" w:hAnsi="Arial" w:cs="Arial"/>
          <w:spacing w:val="-1"/>
          <w:sz w:val="17"/>
          <w:szCs w:val="17"/>
        </w:rPr>
        <w:t>.</w:t>
      </w:r>
    </w:p>
    <w:p w:rsidR="00B46F0E" w:rsidRDefault="00B46F0E" w:rsidP="006C17A5">
      <w:pPr>
        <w:spacing w:before="80" w:line="250" w:lineRule="exact"/>
        <w:ind w:left="709"/>
        <w:jc w:val="both"/>
        <w:rPr>
          <w:rFonts w:ascii="Arial" w:eastAsia="Calibri" w:hAnsi="Arial" w:cs="Arial"/>
          <w:spacing w:val="-1"/>
          <w:sz w:val="17"/>
          <w:szCs w:val="17"/>
        </w:rPr>
      </w:pP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 xml:space="preserve"> de los recursos localizados en fondos de bienes de terceros en administración y/o garantía a corto plazo</w:t>
      </w:r>
      <w:r w:rsidR="008638ED">
        <w:rPr>
          <w:rFonts w:ascii="Arial" w:eastAsia="Calibri" w:hAnsi="Arial" w:cs="Arial"/>
          <w:spacing w:val="-1"/>
          <w:sz w:val="17"/>
          <w:szCs w:val="17"/>
        </w:rPr>
        <w:t>:</w:t>
      </w:r>
    </w:p>
    <w:p w:rsidR="008638ED" w:rsidRPr="005540CE"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743"/>
        <w:gridCol w:w="157"/>
        <w:gridCol w:w="1934"/>
        <w:gridCol w:w="246"/>
        <w:gridCol w:w="1902"/>
        <w:gridCol w:w="278"/>
        <w:gridCol w:w="1870"/>
        <w:gridCol w:w="310"/>
      </w:tblGrid>
      <w:tr w:rsidR="00EB279A" w:rsidRPr="002D70DA" w:rsidTr="006C17A5">
        <w:trPr>
          <w:gridAfter w:val="1"/>
          <w:wAfter w:w="310" w:type="dxa"/>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B279A" w:rsidRPr="002D70DA" w:rsidRDefault="00EB279A"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EB279A" w:rsidRPr="002D70DA" w:rsidRDefault="00EB279A" w:rsidP="00603D16">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B279A" w:rsidRPr="002D70DA" w:rsidRDefault="00EB279A" w:rsidP="00603D16">
            <w:pPr>
              <w:jc w:val="center"/>
              <w:rPr>
                <w:rFonts w:ascii="Arial" w:hAnsi="Arial" w:cs="Arial"/>
                <w:b/>
                <w:bCs/>
                <w:color w:val="000000"/>
                <w:sz w:val="17"/>
                <w:szCs w:val="17"/>
              </w:rPr>
            </w:pPr>
            <w:r>
              <w:rPr>
                <w:rFonts w:ascii="Arial" w:hAnsi="Arial" w:cs="Arial"/>
                <w:b/>
                <w:bCs/>
                <w:color w:val="000000"/>
                <w:sz w:val="17"/>
                <w:szCs w:val="17"/>
              </w:rPr>
              <w:t>2015</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EB279A" w:rsidRDefault="00EB279A" w:rsidP="00EB279A">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EB279A" w:rsidRPr="002D70DA" w:rsidTr="006C17A5">
        <w:trPr>
          <w:gridAfter w:val="1"/>
          <w:wAfter w:w="310" w:type="dxa"/>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B279A" w:rsidRPr="008638ED" w:rsidRDefault="00EB279A" w:rsidP="008638ED">
            <w:pPr>
              <w:rPr>
                <w:rFonts w:ascii="Arial" w:hAnsi="Arial" w:cs="Arial"/>
                <w:sz w:val="17"/>
                <w:szCs w:val="17"/>
              </w:rPr>
            </w:pPr>
            <w:r w:rsidRPr="008638ED">
              <w:rPr>
                <w:rFonts w:ascii="Arial" w:hAnsi="Arial" w:cs="Arial"/>
                <w:sz w:val="17"/>
                <w:szCs w:val="17"/>
              </w:rPr>
              <w:t>Fondos en Garantía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EB279A" w:rsidRPr="008638ED" w:rsidRDefault="00EB279A" w:rsidP="008638ED">
            <w:pPr>
              <w:jc w:val="right"/>
              <w:rPr>
                <w:rFonts w:ascii="Arial" w:hAnsi="Arial" w:cs="Arial"/>
                <w:sz w:val="17"/>
                <w:szCs w:val="17"/>
              </w:rPr>
            </w:pPr>
            <w:r w:rsidRPr="008638ED">
              <w:rPr>
                <w:rFonts w:ascii="Arial" w:hAnsi="Arial" w:cs="Arial"/>
                <w:sz w:val="17"/>
                <w:szCs w:val="17"/>
              </w:rPr>
              <w:t xml:space="preserve">9,034,206 </w:t>
            </w:r>
          </w:p>
        </w:tc>
        <w:tc>
          <w:tcPr>
            <w:tcW w:w="2148" w:type="dxa"/>
            <w:gridSpan w:val="2"/>
            <w:tcBorders>
              <w:top w:val="nil"/>
              <w:left w:val="single" w:sz="4" w:space="0" w:color="auto"/>
              <w:bottom w:val="single" w:sz="4" w:space="0" w:color="auto"/>
              <w:right w:val="single" w:sz="4" w:space="0" w:color="auto"/>
            </w:tcBorders>
            <w:shd w:val="clear" w:color="auto" w:fill="auto"/>
          </w:tcPr>
          <w:p w:rsidR="00EB279A" w:rsidRPr="008638ED" w:rsidRDefault="00EB279A" w:rsidP="008638ED">
            <w:pPr>
              <w:jc w:val="right"/>
              <w:rPr>
                <w:rFonts w:ascii="Arial" w:hAnsi="Arial" w:cs="Arial"/>
                <w:sz w:val="17"/>
                <w:szCs w:val="17"/>
              </w:rPr>
            </w:pPr>
            <w:r w:rsidRPr="008638ED">
              <w:rPr>
                <w:rFonts w:ascii="Arial" w:hAnsi="Arial" w:cs="Arial"/>
                <w:sz w:val="17"/>
                <w:szCs w:val="17"/>
              </w:rPr>
              <w:t xml:space="preserve">7,857,093 </w:t>
            </w:r>
          </w:p>
        </w:tc>
        <w:tc>
          <w:tcPr>
            <w:tcW w:w="2148" w:type="dxa"/>
            <w:gridSpan w:val="2"/>
            <w:tcBorders>
              <w:top w:val="nil"/>
              <w:left w:val="single" w:sz="4" w:space="0" w:color="auto"/>
              <w:bottom w:val="single" w:sz="4" w:space="0" w:color="auto"/>
              <w:right w:val="single" w:sz="4" w:space="0" w:color="auto"/>
            </w:tcBorders>
            <w:shd w:val="clear" w:color="auto" w:fill="auto"/>
          </w:tcPr>
          <w:p w:rsidR="00EB279A" w:rsidRPr="008638ED" w:rsidRDefault="00EB279A" w:rsidP="00EB279A">
            <w:pPr>
              <w:rPr>
                <w:rFonts w:ascii="Arial" w:hAnsi="Arial" w:cs="Arial"/>
                <w:sz w:val="17"/>
                <w:szCs w:val="17"/>
              </w:rPr>
            </w:pPr>
            <w:r>
              <w:rPr>
                <w:rFonts w:ascii="Arial" w:hAnsi="Arial" w:cs="Arial"/>
                <w:sz w:val="17"/>
                <w:szCs w:val="17"/>
              </w:rPr>
              <w:t>Fianzas y depósitos en garantía</w:t>
            </w:r>
          </w:p>
        </w:tc>
      </w:tr>
      <w:tr w:rsidR="00EB279A" w:rsidRPr="002D70DA" w:rsidTr="006C17A5">
        <w:trPr>
          <w:gridAfter w:val="1"/>
          <w:wAfter w:w="310" w:type="dxa"/>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B279A" w:rsidRPr="008638ED" w:rsidRDefault="00EB279A" w:rsidP="008638ED">
            <w:pPr>
              <w:rPr>
                <w:rFonts w:ascii="Arial" w:hAnsi="Arial" w:cs="Arial"/>
                <w:sz w:val="17"/>
                <w:szCs w:val="17"/>
              </w:rPr>
            </w:pPr>
            <w:r w:rsidRPr="008638ED">
              <w:rPr>
                <w:rFonts w:ascii="Arial" w:hAnsi="Arial" w:cs="Arial"/>
                <w:sz w:val="17"/>
                <w:szCs w:val="17"/>
              </w:rPr>
              <w:t>Fondos en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EB279A" w:rsidRPr="008638ED" w:rsidRDefault="00EB279A" w:rsidP="008638ED">
            <w:pPr>
              <w:jc w:val="right"/>
              <w:rPr>
                <w:rFonts w:ascii="Arial" w:hAnsi="Arial" w:cs="Arial"/>
                <w:sz w:val="17"/>
                <w:szCs w:val="17"/>
              </w:rPr>
            </w:pPr>
            <w:r w:rsidRPr="008638ED">
              <w:rPr>
                <w:rFonts w:ascii="Arial" w:hAnsi="Arial" w:cs="Arial"/>
                <w:sz w:val="17"/>
                <w:szCs w:val="17"/>
              </w:rPr>
              <w:t xml:space="preserve">2,624,530 </w:t>
            </w:r>
          </w:p>
        </w:tc>
        <w:tc>
          <w:tcPr>
            <w:tcW w:w="2148" w:type="dxa"/>
            <w:gridSpan w:val="2"/>
            <w:tcBorders>
              <w:top w:val="nil"/>
              <w:left w:val="single" w:sz="4" w:space="0" w:color="auto"/>
              <w:bottom w:val="single" w:sz="4" w:space="0" w:color="auto"/>
              <w:right w:val="single" w:sz="4" w:space="0" w:color="auto"/>
            </w:tcBorders>
            <w:shd w:val="clear" w:color="auto" w:fill="auto"/>
          </w:tcPr>
          <w:p w:rsidR="00EB279A" w:rsidRPr="008638ED" w:rsidRDefault="00EB279A" w:rsidP="008638ED">
            <w:pPr>
              <w:jc w:val="right"/>
              <w:rPr>
                <w:rFonts w:ascii="Arial" w:hAnsi="Arial" w:cs="Arial"/>
                <w:sz w:val="17"/>
                <w:szCs w:val="17"/>
              </w:rPr>
            </w:pPr>
            <w:r w:rsidRPr="008638ED">
              <w:rPr>
                <w:rFonts w:ascii="Arial" w:hAnsi="Arial" w:cs="Arial"/>
                <w:sz w:val="17"/>
                <w:szCs w:val="17"/>
              </w:rPr>
              <w:t xml:space="preserve">23,822,925 </w:t>
            </w:r>
          </w:p>
        </w:tc>
        <w:tc>
          <w:tcPr>
            <w:tcW w:w="2148" w:type="dxa"/>
            <w:gridSpan w:val="2"/>
            <w:tcBorders>
              <w:top w:val="nil"/>
              <w:left w:val="single" w:sz="4" w:space="0" w:color="auto"/>
              <w:bottom w:val="single" w:sz="4" w:space="0" w:color="auto"/>
              <w:right w:val="single" w:sz="4" w:space="0" w:color="auto"/>
            </w:tcBorders>
            <w:shd w:val="clear" w:color="auto" w:fill="auto"/>
          </w:tcPr>
          <w:p w:rsidR="00EB279A" w:rsidRPr="008638ED" w:rsidRDefault="005F49FE" w:rsidP="0026009A">
            <w:pPr>
              <w:rPr>
                <w:rFonts w:ascii="Arial" w:hAnsi="Arial" w:cs="Arial"/>
                <w:sz w:val="17"/>
                <w:szCs w:val="17"/>
              </w:rPr>
            </w:pPr>
            <w:r>
              <w:rPr>
                <w:rFonts w:ascii="Arial" w:hAnsi="Arial" w:cs="Arial"/>
                <w:sz w:val="17"/>
                <w:szCs w:val="17"/>
              </w:rPr>
              <w:t>Pro</w:t>
            </w:r>
            <w:r w:rsidR="0026009A">
              <w:rPr>
                <w:rFonts w:ascii="Arial" w:hAnsi="Arial" w:cs="Arial"/>
                <w:sz w:val="17"/>
                <w:szCs w:val="17"/>
              </w:rPr>
              <w:t>grama de asentamientos humanos.</w:t>
            </w:r>
          </w:p>
        </w:tc>
      </w:tr>
      <w:tr w:rsidR="00EB279A" w:rsidRPr="002D70DA" w:rsidTr="006C17A5">
        <w:trPr>
          <w:gridAfter w:val="1"/>
          <w:wAfter w:w="310" w:type="dxa"/>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EB279A" w:rsidRPr="008638ED" w:rsidRDefault="00EB279A" w:rsidP="008638ED">
            <w:pPr>
              <w:rPr>
                <w:rFonts w:ascii="Arial" w:hAnsi="Arial" w:cs="Arial"/>
                <w:sz w:val="17"/>
                <w:szCs w:val="17"/>
              </w:rPr>
            </w:pPr>
            <w:r w:rsidRPr="008638ED">
              <w:rPr>
                <w:rFonts w:ascii="Arial" w:hAnsi="Arial" w:cs="Arial"/>
                <w:sz w:val="17"/>
                <w:szCs w:val="17"/>
              </w:rPr>
              <w:t>Otros Fondos de Terceros en Garantía y/o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EB279A" w:rsidRPr="008638ED" w:rsidRDefault="00EB279A" w:rsidP="008638ED">
            <w:pPr>
              <w:jc w:val="right"/>
              <w:rPr>
                <w:rFonts w:ascii="Arial" w:hAnsi="Arial" w:cs="Arial"/>
                <w:sz w:val="17"/>
                <w:szCs w:val="17"/>
              </w:rPr>
            </w:pPr>
            <w:r w:rsidRPr="008638ED">
              <w:rPr>
                <w:rFonts w:ascii="Arial" w:hAnsi="Arial" w:cs="Arial"/>
                <w:sz w:val="17"/>
                <w:szCs w:val="17"/>
              </w:rPr>
              <w:t xml:space="preserve">19,654,426 </w:t>
            </w:r>
          </w:p>
        </w:tc>
        <w:tc>
          <w:tcPr>
            <w:tcW w:w="2148" w:type="dxa"/>
            <w:gridSpan w:val="2"/>
            <w:tcBorders>
              <w:top w:val="nil"/>
              <w:left w:val="single" w:sz="4" w:space="0" w:color="auto"/>
              <w:bottom w:val="single" w:sz="4" w:space="0" w:color="auto"/>
              <w:right w:val="single" w:sz="4" w:space="0" w:color="auto"/>
            </w:tcBorders>
            <w:shd w:val="clear" w:color="auto" w:fill="auto"/>
          </w:tcPr>
          <w:p w:rsidR="00EB279A" w:rsidRPr="008638ED" w:rsidRDefault="00EB279A" w:rsidP="008638ED">
            <w:pPr>
              <w:jc w:val="right"/>
              <w:rPr>
                <w:rFonts w:ascii="Arial" w:hAnsi="Arial" w:cs="Arial"/>
                <w:sz w:val="17"/>
                <w:szCs w:val="17"/>
              </w:rPr>
            </w:pPr>
            <w:r w:rsidRPr="008638ED">
              <w:rPr>
                <w:rFonts w:ascii="Arial" w:hAnsi="Arial" w:cs="Arial"/>
                <w:sz w:val="17"/>
                <w:szCs w:val="17"/>
              </w:rPr>
              <w:t xml:space="preserve">15,329,227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EB279A" w:rsidRPr="008638ED" w:rsidRDefault="00633A5C" w:rsidP="005F49FE">
            <w:pPr>
              <w:rPr>
                <w:rFonts w:ascii="Arial" w:hAnsi="Arial" w:cs="Arial"/>
                <w:sz w:val="17"/>
                <w:szCs w:val="17"/>
              </w:rPr>
            </w:pPr>
            <w:r>
              <w:rPr>
                <w:rFonts w:ascii="Arial" w:hAnsi="Arial" w:cs="Arial"/>
                <w:sz w:val="17"/>
                <w:szCs w:val="17"/>
              </w:rPr>
              <w:t>Sanciones obra pública</w:t>
            </w:r>
          </w:p>
        </w:tc>
      </w:tr>
      <w:tr w:rsidR="00EB279A" w:rsidRPr="002D70DA" w:rsidTr="006C17A5">
        <w:trPr>
          <w:gridAfter w:val="1"/>
          <w:wAfter w:w="310" w:type="dxa"/>
          <w:trHeight w:val="240"/>
          <w:jc w:val="center"/>
        </w:trPr>
        <w:tc>
          <w:tcPr>
            <w:tcW w:w="4743" w:type="dxa"/>
            <w:tcBorders>
              <w:top w:val="single" w:sz="4" w:space="0" w:color="auto"/>
              <w:right w:val="single" w:sz="4" w:space="0" w:color="auto"/>
            </w:tcBorders>
            <w:shd w:val="clear" w:color="auto" w:fill="auto"/>
            <w:vAlign w:val="center"/>
          </w:tcPr>
          <w:p w:rsidR="00EB279A" w:rsidRPr="00F93CE5" w:rsidRDefault="00EB279A" w:rsidP="006C17A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79A" w:rsidRPr="00C90054" w:rsidRDefault="00EB279A" w:rsidP="00603D16">
            <w:pPr>
              <w:jc w:val="right"/>
              <w:rPr>
                <w:rFonts w:ascii="Arial" w:hAnsi="Arial" w:cs="Arial"/>
                <w:b/>
                <w:bCs/>
                <w:color w:val="000000"/>
                <w:sz w:val="17"/>
                <w:szCs w:val="17"/>
              </w:rPr>
            </w:pPr>
            <w:r w:rsidRPr="008638ED">
              <w:rPr>
                <w:rFonts w:ascii="Arial" w:hAnsi="Arial" w:cs="Arial"/>
                <w:b/>
                <w:bCs/>
                <w:color w:val="000000"/>
                <w:sz w:val="17"/>
                <w:szCs w:val="17"/>
              </w:rPr>
              <w:t>31,313,161</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79A" w:rsidRPr="00C90054" w:rsidRDefault="00EB279A" w:rsidP="00603D16">
            <w:pPr>
              <w:jc w:val="right"/>
              <w:rPr>
                <w:rFonts w:ascii="Arial" w:hAnsi="Arial" w:cs="Arial"/>
                <w:b/>
                <w:bCs/>
                <w:color w:val="000000"/>
                <w:sz w:val="17"/>
                <w:szCs w:val="17"/>
              </w:rPr>
            </w:pPr>
            <w:r w:rsidRPr="008638ED">
              <w:rPr>
                <w:rFonts w:ascii="Arial" w:hAnsi="Arial" w:cs="Arial"/>
                <w:b/>
                <w:bCs/>
                <w:color w:val="000000"/>
                <w:sz w:val="17"/>
                <w:szCs w:val="17"/>
              </w:rPr>
              <w:t>47,009,244</w:t>
            </w:r>
          </w:p>
        </w:tc>
        <w:tc>
          <w:tcPr>
            <w:tcW w:w="2148" w:type="dxa"/>
            <w:gridSpan w:val="2"/>
            <w:tcBorders>
              <w:top w:val="single" w:sz="4" w:space="0" w:color="auto"/>
              <w:left w:val="single" w:sz="4" w:space="0" w:color="auto"/>
            </w:tcBorders>
            <w:shd w:val="clear" w:color="auto" w:fill="auto"/>
          </w:tcPr>
          <w:p w:rsidR="00EB279A" w:rsidRPr="008638ED" w:rsidRDefault="00EB279A" w:rsidP="00603D16">
            <w:pPr>
              <w:jc w:val="right"/>
              <w:rPr>
                <w:rFonts w:ascii="Arial" w:hAnsi="Arial" w:cs="Arial"/>
                <w:b/>
                <w:bCs/>
                <w:color w:val="000000"/>
                <w:sz w:val="17"/>
                <w:szCs w:val="17"/>
              </w:rPr>
            </w:pPr>
          </w:p>
        </w:tc>
      </w:tr>
      <w:tr w:rsidR="006529CA" w:rsidRPr="002D70DA" w:rsidTr="00633A5C">
        <w:trPr>
          <w:trHeight w:val="240"/>
          <w:jc w:val="center"/>
        </w:trPr>
        <w:tc>
          <w:tcPr>
            <w:tcW w:w="4900" w:type="dxa"/>
            <w:gridSpan w:val="2"/>
            <w:tcBorders>
              <w:top w:val="nil"/>
              <w:left w:val="nil"/>
              <w:bottom w:val="nil"/>
              <w:right w:val="nil"/>
            </w:tcBorders>
            <w:shd w:val="clear" w:color="000000" w:fill="FFFFFF"/>
            <w:vAlign w:val="center"/>
            <w:hideMark/>
          </w:tcPr>
          <w:p w:rsidR="00F44790" w:rsidRPr="002D70DA" w:rsidRDefault="00F44790" w:rsidP="006529CA">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bl>
    <w:p w:rsidR="00AA1129" w:rsidRDefault="00AA1129"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434092">
        <w:rPr>
          <w:rFonts w:ascii="Arial" w:eastAsia="Calibri" w:hAnsi="Arial" w:cs="Arial"/>
          <w:spacing w:val="-1"/>
          <w:sz w:val="17"/>
          <w:szCs w:val="17"/>
        </w:rPr>
        <w:t xml:space="preserve">de la cuenta la cuenta </w:t>
      </w:r>
      <w:r w:rsidR="00434092" w:rsidRPr="00AA1129">
        <w:rPr>
          <w:rFonts w:ascii="Arial" w:eastAsia="Calibri" w:hAnsi="Arial" w:cs="Arial"/>
          <w:spacing w:val="-1"/>
          <w:sz w:val="17"/>
          <w:szCs w:val="17"/>
        </w:rPr>
        <w:t>Otros Pasivos a Corto Plazo</w:t>
      </w:r>
      <w:r w:rsidR="00434092">
        <w:rPr>
          <w:rFonts w:ascii="Arial" w:eastAsia="Calibri" w:hAnsi="Arial" w:cs="Arial"/>
          <w:spacing w:val="-1"/>
          <w:sz w:val="17"/>
          <w:szCs w:val="17"/>
        </w:rPr>
        <w:t xml:space="preserve"> </w:t>
      </w:r>
      <w:r>
        <w:rPr>
          <w:rFonts w:ascii="Arial" w:eastAsia="Calibri" w:hAnsi="Arial" w:cs="Arial"/>
          <w:spacing w:val="-1"/>
          <w:sz w:val="17"/>
          <w:szCs w:val="17"/>
        </w:rPr>
        <w:t>al 31 de diciembre del 2016</w:t>
      </w:r>
      <w:r w:rsidR="00434092">
        <w:rPr>
          <w:rFonts w:ascii="Arial" w:eastAsia="Calibri" w:hAnsi="Arial" w:cs="Arial"/>
          <w:spacing w:val="-1"/>
          <w:sz w:val="17"/>
          <w:szCs w:val="17"/>
        </w:rPr>
        <w:t>:</w:t>
      </w:r>
    </w:p>
    <w:p w:rsidR="00AA1129" w:rsidRPr="005540CE" w:rsidRDefault="00AA1129" w:rsidP="00AA1129">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157"/>
        <w:gridCol w:w="1934"/>
        <w:gridCol w:w="246"/>
        <w:gridCol w:w="1902"/>
      </w:tblGrid>
      <w:tr w:rsidR="00434092" w:rsidRPr="002D70DA" w:rsidTr="006C17A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4092" w:rsidRPr="002D70DA" w:rsidRDefault="00434092"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themeFill="text2" w:themeFillTint="33"/>
            <w:vAlign w:val="center"/>
          </w:tcPr>
          <w:p w:rsidR="00434092" w:rsidRPr="002D70DA" w:rsidRDefault="00434092" w:rsidP="00603D16">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4092" w:rsidRPr="002D70DA" w:rsidRDefault="00434092" w:rsidP="00603D16">
            <w:pPr>
              <w:jc w:val="center"/>
              <w:rPr>
                <w:rFonts w:ascii="Arial" w:hAnsi="Arial" w:cs="Arial"/>
                <w:b/>
                <w:bCs/>
                <w:color w:val="000000"/>
                <w:sz w:val="17"/>
                <w:szCs w:val="17"/>
              </w:rPr>
            </w:pPr>
            <w:r>
              <w:rPr>
                <w:rFonts w:ascii="Arial" w:hAnsi="Arial" w:cs="Arial"/>
                <w:b/>
                <w:bCs/>
                <w:color w:val="000000"/>
                <w:sz w:val="17"/>
                <w:szCs w:val="17"/>
              </w:rPr>
              <w:t>2015</w:t>
            </w:r>
          </w:p>
        </w:tc>
      </w:tr>
      <w:tr w:rsidR="00434092" w:rsidRPr="002D70DA" w:rsidTr="0096530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434092" w:rsidRPr="00434092" w:rsidRDefault="00434092" w:rsidP="00434092">
            <w:pPr>
              <w:rPr>
                <w:rFonts w:ascii="Arial" w:hAnsi="Arial" w:cs="Arial"/>
                <w:sz w:val="17"/>
                <w:szCs w:val="17"/>
              </w:rPr>
            </w:pPr>
            <w:r w:rsidRPr="00434092">
              <w:rPr>
                <w:rFonts w:ascii="Arial" w:hAnsi="Arial" w:cs="Arial"/>
                <w:sz w:val="17"/>
                <w:szCs w:val="17"/>
              </w:rPr>
              <w:t>Ingresos por Clasificar</w:t>
            </w:r>
          </w:p>
        </w:tc>
        <w:tc>
          <w:tcPr>
            <w:tcW w:w="2091" w:type="dxa"/>
            <w:gridSpan w:val="2"/>
            <w:tcBorders>
              <w:top w:val="single" w:sz="4" w:space="0" w:color="auto"/>
              <w:left w:val="nil"/>
              <w:bottom w:val="single" w:sz="4" w:space="0" w:color="auto"/>
              <w:right w:val="single" w:sz="4" w:space="0" w:color="auto"/>
            </w:tcBorders>
            <w:shd w:val="clear" w:color="auto" w:fill="auto"/>
          </w:tcPr>
          <w:p w:rsidR="00434092" w:rsidRPr="00434092" w:rsidRDefault="00434092" w:rsidP="00434092">
            <w:pPr>
              <w:jc w:val="right"/>
              <w:rPr>
                <w:rFonts w:ascii="Arial" w:hAnsi="Arial" w:cs="Arial"/>
                <w:sz w:val="17"/>
                <w:szCs w:val="17"/>
              </w:rPr>
            </w:pPr>
            <w:r w:rsidRPr="00434092">
              <w:rPr>
                <w:rFonts w:ascii="Arial" w:hAnsi="Arial" w:cs="Arial"/>
                <w:sz w:val="17"/>
                <w:szCs w:val="17"/>
              </w:rPr>
              <w:t xml:space="preserve">10,910,819 </w:t>
            </w:r>
          </w:p>
        </w:tc>
        <w:tc>
          <w:tcPr>
            <w:tcW w:w="2148" w:type="dxa"/>
            <w:gridSpan w:val="2"/>
            <w:tcBorders>
              <w:top w:val="nil"/>
              <w:left w:val="single" w:sz="4" w:space="0" w:color="auto"/>
              <w:bottom w:val="single" w:sz="4" w:space="0" w:color="auto"/>
              <w:right w:val="single" w:sz="4" w:space="0" w:color="auto"/>
            </w:tcBorders>
            <w:shd w:val="clear" w:color="auto" w:fill="auto"/>
          </w:tcPr>
          <w:p w:rsidR="00434092" w:rsidRPr="00434092" w:rsidRDefault="00434092" w:rsidP="00434092">
            <w:pPr>
              <w:jc w:val="right"/>
              <w:rPr>
                <w:rFonts w:ascii="Arial" w:hAnsi="Arial" w:cs="Arial"/>
                <w:sz w:val="17"/>
                <w:szCs w:val="17"/>
              </w:rPr>
            </w:pPr>
            <w:r w:rsidRPr="00434092">
              <w:rPr>
                <w:rFonts w:ascii="Arial" w:hAnsi="Arial" w:cs="Arial"/>
                <w:sz w:val="17"/>
                <w:szCs w:val="17"/>
              </w:rPr>
              <w:t xml:space="preserve">10,160,183 </w:t>
            </w:r>
          </w:p>
        </w:tc>
      </w:tr>
      <w:tr w:rsidR="00434092" w:rsidRPr="002D70DA" w:rsidTr="0096530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434092" w:rsidRPr="00434092" w:rsidRDefault="00434092" w:rsidP="00434092">
            <w:pPr>
              <w:rPr>
                <w:rFonts w:ascii="Arial" w:hAnsi="Arial" w:cs="Arial"/>
                <w:sz w:val="17"/>
                <w:szCs w:val="17"/>
              </w:rPr>
            </w:pPr>
            <w:r w:rsidRPr="00434092">
              <w:rPr>
                <w:rFonts w:ascii="Arial" w:hAnsi="Arial" w:cs="Arial"/>
                <w:sz w:val="17"/>
                <w:szCs w:val="17"/>
              </w:rPr>
              <w:t>Recaudación por Participar</w:t>
            </w:r>
          </w:p>
        </w:tc>
        <w:tc>
          <w:tcPr>
            <w:tcW w:w="2091" w:type="dxa"/>
            <w:gridSpan w:val="2"/>
            <w:tcBorders>
              <w:top w:val="single" w:sz="4" w:space="0" w:color="auto"/>
              <w:left w:val="nil"/>
              <w:bottom w:val="single" w:sz="4" w:space="0" w:color="auto"/>
              <w:right w:val="single" w:sz="4" w:space="0" w:color="auto"/>
            </w:tcBorders>
            <w:shd w:val="clear" w:color="auto" w:fill="auto"/>
          </w:tcPr>
          <w:p w:rsidR="00434092" w:rsidRPr="00434092" w:rsidRDefault="00434092" w:rsidP="00434092">
            <w:pPr>
              <w:jc w:val="right"/>
              <w:rPr>
                <w:rFonts w:ascii="Arial" w:hAnsi="Arial" w:cs="Arial"/>
                <w:sz w:val="17"/>
                <w:szCs w:val="17"/>
              </w:rPr>
            </w:pPr>
            <w:r w:rsidRPr="00434092">
              <w:rPr>
                <w:rFonts w:ascii="Arial" w:hAnsi="Arial" w:cs="Arial"/>
                <w:sz w:val="17"/>
                <w:szCs w:val="17"/>
              </w:rPr>
              <w:t xml:space="preserve">39,545,690 </w:t>
            </w:r>
          </w:p>
        </w:tc>
        <w:tc>
          <w:tcPr>
            <w:tcW w:w="2148" w:type="dxa"/>
            <w:gridSpan w:val="2"/>
            <w:tcBorders>
              <w:top w:val="nil"/>
              <w:left w:val="single" w:sz="4" w:space="0" w:color="auto"/>
              <w:bottom w:val="single" w:sz="4" w:space="0" w:color="auto"/>
              <w:right w:val="single" w:sz="4" w:space="0" w:color="auto"/>
            </w:tcBorders>
            <w:shd w:val="clear" w:color="auto" w:fill="auto"/>
          </w:tcPr>
          <w:p w:rsidR="00434092" w:rsidRPr="00434092" w:rsidRDefault="00434092" w:rsidP="00434092">
            <w:pPr>
              <w:jc w:val="right"/>
              <w:rPr>
                <w:rFonts w:ascii="Arial" w:hAnsi="Arial" w:cs="Arial"/>
                <w:sz w:val="17"/>
                <w:szCs w:val="17"/>
              </w:rPr>
            </w:pPr>
            <w:r w:rsidRPr="00434092">
              <w:rPr>
                <w:rFonts w:ascii="Arial" w:hAnsi="Arial" w:cs="Arial"/>
                <w:sz w:val="17"/>
                <w:szCs w:val="17"/>
              </w:rPr>
              <w:t xml:space="preserve">29,063,553 </w:t>
            </w:r>
          </w:p>
        </w:tc>
      </w:tr>
      <w:tr w:rsidR="00434092" w:rsidRPr="002D70DA" w:rsidTr="00965303">
        <w:trPr>
          <w:trHeight w:val="240"/>
          <w:jc w:val="center"/>
        </w:trPr>
        <w:tc>
          <w:tcPr>
            <w:tcW w:w="4743" w:type="dxa"/>
            <w:tcBorders>
              <w:top w:val="single" w:sz="4" w:space="0" w:color="auto"/>
              <w:right w:val="single" w:sz="4" w:space="0" w:color="auto"/>
            </w:tcBorders>
            <w:shd w:val="clear" w:color="auto" w:fill="auto"/>
            <w:vAlign w:val="center"/>
          </w:tcPr>
          <w:p w:rsidR="00434092" w:rsidRPr="00F93CE5" w:rsidRDefault="00434092" w:rsidP="0096530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092" w:rsidRPr="00C90054" w:rsidRDefault="00434092" w:rsidP="00603D16">
            <w:pPr>
              <w:jc w:val="right"/>
              <w:rPr>
                <w:rFonts w:ascii="Arial" w:hAnsi="Arial" w:cs="Arial"/>
                <w:b/>
                <w:bCs/>
                <w:color w:val="000000"/>
                <w:sz w:val="17"/>
                <w:szCs w:val="17"/>
              </w:rPr>
            </w:pPr>
            <w:r w:rsidRPr="00434092">
              <w:rPr>
                <w:rFonts w:ascii="Arial" w:hAnsi="Arial" w:cs="Arial"/>
                <w:b/>
                <w:bCs/>
                <w:color w:val="000000"/>
                <w:sz w:val="17"/>
                <w:szCs w:val="17"/>
              </w:rPr>
              <w:t>50,456,508</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092" w:rsidRPr="00C90054" w:rsidRDefault="00434092" w:rsidP="00603D16">
            <w:pPr>
              <w:jc w:val="right"/>
              <w:rPr>
                <w:rFonts w:ascii="Arial" w:hAnsi="Arial" w:cs="Arial"/>
                <w:b/>
                <w:bCs/>
                <w:color w:val="000000"/>
                <w:sz w:val="17"/>
                <w:szCs w:val="17"/>
              </w:rPr>
            </w:pPr>
            <w:r w:rsidRPr="00434092">
              <w:rPr>
                <w:rFonts w:ascii="Arial" w:hAnsi="Arial" w:cs="Arial"/>
                <w:b/>
                <w:bCs/>
                <w:color w:val="000000"/>
                <w:sz w:val="17"/>
                <w:szCs w:val="17"/>
              </w:rPr>
              <w:t>39,223,736</w:t>
            </w:r>
          </w:p>
        </w:tc>
      </w:tr>
      <w:tr w:rsidR="00434092" w:rsidRPr="002D70DA" w:rsidTr="00434092">
        <w:trPr>
          <w:gridAfter w:val="1"/>
          <w:wAfter w:w="1902" w:type="dxa"/>
          <w:trHeight w:val="240"/>
          <w:jc w:val="center"/>
        </w:trPr>
        <w:tc>
          <w:tcPr>
            <w:tcW w:w="4900" w:type="dxa"/>
            <w:gridSpan w:val="2"/>
            <w:tcBorders>
              <w:top w:val="nil"/>
              <w:left w:val="nil"/>
              <w:bottom w:val="nil"/>
              <w:right w:val="nil"/>
            </w:tcBorders>
            <w:shd w:val="clear" w:color="000000" w:fill="FFFFFF"/>
            <w:vAlign w:val="center"/>
            <w:hideMark/>
          </w:tcPr>
          <w:p w:rsidR="00434092" w:rsidRPr="002D70DA" w:rsidRDefault="00434092" w:rsidP="00603D16">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434092" w:rsidRPr="002D70DA" w:rsidRDefault="00434092" w:rsidP="00603D16">
            <w:pPr>
              <w:jc w:val="center"/>
              <w:rPr>
                <w:rFonts w:ascii="Arial" w:hAnsi="Arial" w:cs="Arial"/>
                <w:color w:val="000000"/>
                <w:sz w:val="17"/>
                <w:szCs w:val="17"/>
              </w:rPr>
            </w:pPr>
            <w:r w:rsidRPr="002D70DA">
              <w:rPr>
                <w:rFonts w:ascii="Arial" w:hAnsi="Arial" w:cs="Arial"/>
                <w:color w:val="000000"/>
                <w:sz w:val="17"/>
                <w:szCs w:val="17"/>
              </w:rPr>
              <w:t> </w:t>
            </w:r>
          </w:p>
        </w:tc>
      </w:tr>
    </w:tbl>
    <w:p w:rsidR="00FE4A0F" w:rsidRDefault="00FE4A0F"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informa dentro del pasivo no circulante la obligación de pago para ejercicios posteriores al 201</w:t>
      </w:r>
      <w:r w:rsidR="0058374A">
        <w:rPr>
          <w:rFonts w:ascii="Arial" w:eastAsia="Calibri" w:hAnsi="Arial" w:cs="Arial"/>
          <w:spacing w:val="-1"/>
          <w:sz w:val="17"/>
          <w:szCs w:val="17"/>
        </w:rPr>
        <w:t>7</w:t>
      </w:r>
      <w:r>
        <w:rPr>
          <w:rFonts w:ascii="Arial" w:eastAsia="Calibri" w:hAnsi="Arial" w:cs="Arial"/>
          <w:spacing w:val="-1"/>
          <w:sz w:val="17"/>
          <w:szCs w:val="17"/>
        </w:rPr>
        <w:t xml:space="preserve"> que asciende a 1,001,067,582</w:t>
      </w:r>
      <w:r w:rsidR="00063D2B">
        <w:rPr>
          <w:rFonts w:ascii="Arial" w:eastAsia="Calibri" w:hAnsi="Arial" w:cs="Arial"/>
          <w:spacing w:val="-1"/>
          <w:sz w:val="17"/>
          <w:szCs w:val="17"/>
        </w:rPr>
        <w:t xml:space="preserve">, dicha deuda contratada con BBVA </w:t>
      </w:r>
      <w:r w:rsidR="00CD35CA">
        <w:rPr>
          <w:rFonts w:ascii="Arial" w:eastAsia="Calibri" w:hAnsi="Arial" w:cs="Arial"/>
          <w:spacing w:val="-1"/>
          <w:sz w:val="17"/>
          <w:szCs w:val="17"/>
        </w:rPr>
        <w:t xml:space="preserve">se prevé su amortización completa para </w:t>
      </w:r>
      <w:r w:rsidR="004A581E">
        <w:rPr>
          <w:rFonts w:ascii="Arial" w:eastAsia="Calibri" w:hAnsi="Arial" w:cs="Arial"/>
          <w:spacing w:val="-1"/>
          <w:sz w:val="17"/>
          <w:szCs w:val="17"/>
        </w:rPr>
        <w:t xml:space="preserve">el mes de </w:t>
      </w:r>
      <w:r w:rsidR="004A581E" w:rsidRPr="004A581E">
        <w:rPr>
          <w:rFonts w:ascii="Arial" w:eastAsia="Calibri" w:hAnsi="Arial" w:cs="Arial"/>
          <w:spacing w:val="-1"/>
          <w:sz w:val="17"/>
          <w:szCs w:val="17"/>
        </w:rPr>
        <w:t>Agosto de 2026</w:t>
      </w:r>
      <w:r w:rsidR="00CD35CA" w:rsidRPr="004A581E">
        <w:rPr>
          <w:rFonts w:ascii="Arial" w:eastAsia="Calibri" w:hAnsi="Arial" w:cs="Arial"/>
          <w:spacing w:val="-1"/>
          <w:sz w:val="17"/>
          <w:szCs w:val="17"/>
        </w:rPr>
        <w:t xml:space="preserve"> estando garantizada </w:t>
      </w:r>
      <w:r w:rsidR="00CD35CA">
        <w:rPr>
          <w:rFonts w:ascii="Arial" w:eastAsia="Calibri" w:hAnsi="Arial" w:cs="Arial"/>
          <w:spacing w:val="-1"/>
          <w:sz w:val="17"/>
          <w:szCs w:val="17"/>
        </w:rPr>
        <w:t>a través de un fideicomiso de administración y pago fondeado con participaciones federales.</w:t>
      </w:r>
    </w:p>
    <w:p w:rsidR="00F535B4" w:rsidRDefault="00F535B4" w:rsidP="00F535B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el saldo del rubro </w:t>
      </w:r>
      <w:r w:rsidRPr="00F535B4">
        <w:rPr>
          <w:rFonts w:ascii="Arial" w:eastAsia="Calibri" w:hAnsi="Arial" w:cs="Arial"/>
          <w:spacing w:val="-1"/>
          <w:sz w:val="17"/>
          <w:szCs w:val="17"/>
        </w:rPr>
        <w:t xml:space="preserve">Provisiones a Largo Plazo </w:t>
      </w:r>
      <w:r>
        <w:rPr>
          <w:rFonts w:ascii="Arial" w:eastAsia="Calibri" w:hAnsi="Arial" w:cs="Arial"/>
          <w:spacing w:val="-1"/>
          <w:sz w:val="17"/>
          <w:szCs w:val="17"/>
        </w:rPr>
        <w:t>al 31 de diciembre del 2016:</w:t>
      </w:r>
    </w:p>
    <w:p w:rsidR="00F535B4" w:rsidRPr="005540CE" w:rsidRDefault="00F535B4" w:rsidP="00F535B4">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535B4" w:rsidRPr="002D70DA" w:rsidTr="0096530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35B4" w:rsidRPr="002D70DA" w:rsidRDefault="00F535B4"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535B4" w:rsidRPr="002D70DA" w:rsidRDefault="00F535B4" w:rsidP="00603D16">
            <w:pPr>
              <w:jc w:val="center"/>
              <w:rPr>
                <w:rFonts w:ascii="Arial" w:hAnsi="Arial" w:cs="Arial"/>
                <w:b/>
                <w:bCs/>
                <w:color w:val="000000"/>
                <w:sz w:val="17"/>
                <w:szCs w:val="17"/>
              </w:rPr>
            </w:pPr>
            <w:r>
              <w:rPr>
                <w:rFonts w:ascii="Arial" w:hAnsi="Arial" w:cs="Arial"/>
                <w:b/>
                <w:bCs/>
                <w:color w:val="000000"/>
                <w:sz w:val="17"/>
                <w:szCs w:val="17"/>
              </w:rPr>
              <w:t>2016</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35B4" w:rsidRPr="002D70DA" w:rsidRDefault="00F535B4" w:rsidP="00603D16">
            <w:pPr>
              <w:jc w:val="center"/>
              <w:rPr>
                <w:rFonts w:ascii="Arial" w:hAnsi="Arial" w:cs="Arial"/>
                <w:b/>
                <w:bCs/>
                <w:color w:val="000000"/>
                <w:sz w:val="17"/>
                <w:szCs w:val="17"/>
              </w:rPr>
            </w:pPr>
            <w:r>
              <w:rPr>
                <w:rFonts w:ascii="Arial" w:hAnsi="Arial" w:cs="Arial"/>
                <w:b/>
                <w:bCs/>
                <w:color w:val="000000"/>
                <w:sz w:val="17"/>
                <w:szCs w:val="17"/>
              </w:rPr>
              <w:t>2015</w:t>
            </w:r>
          </w:p>
        </w:tc>
      </w:tr>
      <w:tr w:rsidR="00F535B4" w:rsidRPr="002D70DA" w:rsidTr="00A403A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535B4" w:rsidRPr="00434092" w:rsidRDefault="00F535B4" w:rsidP="00603D16">
            <w:pPr>
              <w:rPr>
                <w:rFonts w:ascii="Arial" w:hAnsi="Arial" w:cs="Arial"/>
                <w:sz w:val="17"/>
                <w:szCs w:val="17"/>
              </w:rPr>
            </w:pPr>
            <w:r w:rsidRPr="00F535B4">
              <w:rPr>
                <w:rFonts w:ascii="Arial" w:hAnsi="Arial" w:cs="Arial"/>
                <w:sz w:val="17"/>
                <w:szCs w:val="17"/>
              </w:rPr>
              <w:t>Provisión para Pensiones a Largo Plazo</w:t>
            </w:r>
          </w:p>
        </w:tc>
        <w:tc>
          <w:tcPr>
            <w:tcW w:w="2091" w:type="dxa"/>
            <w:tcBorders>
              <w:top w:val="single" w:sz="4" w:space="0" w:color="auto"/>
              <w:left w:val="nil"/>
              <w:bottom w:val="single" w:sz="4" w:space="0" w:color="auto"/>
              <w:right w:val="single" w:sz="4" w:space="0" w:color="auto"/>
            </w:tcBorders>
            <w:shd w:val="clear" w:color="auto" w:fill="auto"/>
          </w:tcPr>
          <w:p w:rsidR="00F535B4" w:rsidRPr="00434092" w:rsidRDefault="00F535B4" w:rsidP="00603D16">
            <w:pPr>
              <w:jc w:val="right"/>
              <w:rPr>
                <w:rFonts w:ascii="Arial" w:hAnsi="Arial" w:cs="Arial"/>
                <w:sz w:val="17"/>
                <w:szCs w:val="17"/>
              </w:rPr>
            </w:pPr>
            <w:r w:rsidRPr="00F535B4">
              <w:rPr>
                <w:rFonts w:ascii="Arial" w:hAnsi="Arial" w:cs="Arial"/>
                <w:sz w:val="17"/>
                <w:szCs w:val="17"/>
              </w:rPr>
              <w:t>118,784,260</w:t>
            </w:r>
          </w:p>
        </w:tc>
        <w:tc>
          <w:tcPr>
            <w:tcW w:w="2148" w:type="dxa"/>
            <w:tcBorders>
              <w:top w:val="nil"/>
              <w:left w:val="single" w:sz="4" w:space="0" w:color="auto"/>
              <w:bottom w:val="single" w:sz="4" w:space="0" w:color="auto"/>
              <w:right w:val="single" w:sz="4" w:space="0" w:color="auto"/>
            </w:tcBorders>
            <w:shd w:val="clear" w:color="auto" w:fill="auto"/>
          </w:tcPr>
          <w:p w:rsidR="00F535B4" w:rsidRPr="00434092" w:rsidRDefault="00F535B4" w:rsidP="00603D16">
            <w:pPr>
              <w:jc w:val="right"/>
              <w:rPr>
                <w:rFonts w:ascii="Arial" w:hAnsi="Arial" w:cs="Arial"/>
                <w:sz w:val="17"/>
                <w:szCs w:val="17"/>
              </w:rPr>
            </w:pPr>
            <w:r w:rsidRPr="00F535B4">
              <w:rPr>
                <w:rFonts w:ascii="Arial" w:hAnsi="Arial" w:cs="Arial"/>
                <w:sz w:val="17"/>
                <w:szCs w:val="17"/>
              </w:rPr>
              <w:t>113,887,049</w:t>
            </w:r>
          </w:p>
        </w:tc>
      </w:tr>
    </w:tbl>
    <w:p w:rsidR="00F535B4" w:rsidRDefault="00EB52FD" w:rsidP="00DD12CE">
      <w:pPr>
        <w:pStyle w:val="Prrafodelista"/>
        <w:autoSpaceDE w:val="0"/>
        <w:autoSpaceDN w:val="0"/>
        <w:adjustRightInd w:val="0"/>
        <w:spacing w:before="240" w:after="120"/>
        <w:ind w:left="709"/>
        <w:jc w:val="both"/>
        <w:rPr>
          <w:rFonts w:ascii="Arial" w:hAnsi="Arial" w:cs="Arial"/>
          <w:sz w:val="17"/>
          <w:szCs w:val="17"/>
        </w:rPr>
      </w:pPr>
      <w:r>
        <w:rPr>
          <w:rFonts w:ascii="Arial" w:hAnsi="Arial" w:cs="Arial"/>
          <w:sz w:val="17"/>
          <w:szCs w:val="17"/>
        </w:rPr>
        <w:t>El saldo que se presenta corresponde a reserva actuarial del Poder Ejecutivo del Estado de Querétaro. El incremento del 4% obedece a intereses generados en el ejercicio que se informa.</w:t>
      </w:r>
    </w:p>
    <w:p w:rsidR="00F535B4" w:rsidRDefault="00F535B4" w:rsidP="00F32D77">
      <w:pPr>
        <w:pStyle w:val="Prrafodelista"/>
        <w:autoSpaceDE w:val="0"/>
        <w:autoSpaceDN w:val="0"/>
        <w:adjustRightInd w:val="0"/>
        <w:spacing w:before="240" w:after="120"/>
        <w:ind w:left="1080"/>
        <w:jc w:val="both"/>
        <w:rPr>
          <w:rFonts w:ascii="Arial" w:hAnsi="Arial" w:cs="Arial"/>
          <w:sz w:val="17"/>
          <w:szCs w:val="17"/>
        </w:rPr>
      </w:pPr>
    </w:p>
    <w:p w:rsidR="00CF338E" w:rsidRPr="002D70DA" w:rsidRDefault="00CF338E" w:rsidP="00FC28E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4A581E" w:rsidRPr="004A581E" w:rsidRDefault="004A581E" w:rsidP="004A581E">
      <w:pPr>
        <w:autoSpaceDE w:val="0"/>
        <w:autoSpaceDN w:val="0"/>
        <w:adjustRightInd w:val="0"/>
        <w:spacing w:before="240" w:after="120"/>
        <w:ind w:left="360"/>
        <w:jc w:val="both"/>
        <w:rPr>
          <w:rFonts w:ascii="Arial" w:hAnsi="Arial" w:cs="Arial"/>
          <w:b/>
          <w:sz w:val="17"/>
          <w:szCs w:val="17"/>
        </w:rPr>
      </w:pPr>
    </w:p>
    <w:p w:rsidR="00CF338E" w:rsidRPr="00DD12CE" w:rsidRDefault="000008C2" w:rsidP="00DD12CE">
      <w:pPr>
        <w:pStyle w:val="Prrafodelista"/>
        <w:numPr>
          <w:ilvl w:val="0"/>
          <w:numId w:val="48"/>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4A581E" w:rsidRDefault="000008C2" w:rsidP="004A581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w:t>
      </w:r>
    </w:p>
    <w:p w:rsidR="000008C2" w:rsidRPr="002D70DA" w:rsidRDefault="000008C2" w:rsidP="004A581E">
      <w:pPr>
        <w:spacing w:before="80" w:line="250" w:lineRule="exact"/>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DD12CE">
        <w:trPr>
          <w:trHeight w:val="285"/>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882163">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882163">
            <w:pPr>
              <w:jc w:val="center"/>
              <w:rPr>
                <w:rFonts w:ascii="Arial" w:hAnsi="Arial" w:cs="Arial"/>
                <w:b/>
                <w:bCs/>
                <w:color w:val="000000"/>
                <w:sz w:val="17"/>
                <w:szCs w:val="17"/>
              </w:rPr>
            </w:pPr>
            <w:r>
              <w:rPr>
                <w:rFonts w:ascii="Arial" w:hAnsi="Arial" w:cs="Arial"/>
                <w:b/>
                <w:bCs/>
                <w:color w:val="000000"/>
                <w:sz w:val="17"/>
                <w:szCs w:val="17"/>
              </w:rPr>
              <w:t>2015</w:t>
            </w:r>
          </w:p>
        </w:tc>
      </w:tr>
      <w:tr w:rsidR="00882163" w:rsidRPr="00882163" w:rsidTr="009E6107">
        <w:trPr>
          <w:trHeight w:val="27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882163" w:rsidRPr="001E79D9" w:rsidRDefault="00882163" w:rsidP="00882163">
            <w:pPr>
              <w:rPr>
                <w:rFonts w:ascii="Arial" w:hAnsi="Arial" w:cs="Arial"/>
                <w:b/>
                <w:sz w:val="17"/>
                <w:szCs w:val="17"/>
              </w:rPr>
            </w:pPr>
            <w:r w:rsidRPr="001E79D9">
              <w:rPr>
                <w:rFonts w:ascii="Arial" w:hAnsi="Arial" w:cs="Arial"/>
                <w:b/>
                <w:sz w:val="17"/>
                <w:szCs w:val="17"/>
              </w:rPr>
              <w:t>Impuestos</w:t>
            </w:r>
          </w:p>
        </w:tc>
        <w:tc>
          <w:tcPr>
            <w:tcW w:w="2180" w:type="dxa"/>
            <w:tcBorders>
              <w:top w:val="single" w:sz="4" w:space="0" w:color="auto"/>
              <w:left w:val="nil"/>
              <w:bottom w:val="single" w:sz="4" w:space="0" w:color="auto"/>
              <w:right w:val="single" w:sz="4" w:space="0" w:color="auto"/>
            </w:tcBorders>
            <w:shd w:val="clear" w:color="auto" w:fill="auto"/>
            <w:vAlign w:val="center"/>
          </w:tcPr>
          <w:p w:rsidR="00882163" w:rsidRPr="001E79D9" w:rsidRDefault="00882163" w:rsidP="00882163">
            <w:pPr>
              <w:jc w:val="right"/>
              <w:rPr>
                <w:rFonts w:ascii="Arial" w:hAnsi="Arial" w:cs="Arial"/>
                <w:b/>
                <w:sz w:val="17"/>
                <w:szCs w:val="17"/>
              </w:rPr>
            </w:pPr>
            <w:r w:rsidRPr="001E79D9">
              <w:rPr>
                <w:rFonts w:ascii="Arial" w:hAnsi="Arial" w:cs="Arial"/>
                <w:b/>
                <w:sz w:val="17"/>
                <w:szCs w:val="17"/>
              </w:rPr>
              <w:t>2,733,002,904</w:t>
            </w:r>
          </w:p>
        </w:tc>
        <w:tc>
          <w:tcPr>
            <w:tcW w:w="2180" w:type="dxa"/>
            <w:tcBorders>
              <w:top w:val="single" w:sz="4" w:space="0" w:color="auto"/>
              <w:left w:val="nil"/>
              <w:bottom w:val="single" w:sz="4" w:space="0" w:color="auto"/>
              <w:right w:val="single" w:sz="4" w:space="0" w:color="auto"/>
            </w:tcBorders>
            <w:shd w:val="clear" w:color="auto" w:fill="auto"/>
            <w:vAlign w:val="center"/>
          </w:tcPr>
          <w:p w:rsidR="00882163" w:rsidRPr="001E79D9" w:rsidRDefault="00882163" w:rsidP="00882163">
            <w:pPr>
              <w:jc w:val="right"/>
              <w:rPr>
                <w:rFonts w:ascii="Arial" w:hAnsi="Arial" w:cs="Arial"/>
                <w:b/>
                <w:sz w:val="17"/>
                <w:szCs w:val="17"/>
              </w:rPr>
            </w:pPr>
            <w:r w:rsidRPr="001E79D9">
              <w:rPr>
                <w:rFonts w:ascii="Arial" w:hAnsi="Arial" w:cs="Arial"/>
                <w:b/>
                <w:sz w:val="17"/>
                <w:szCs w:val="17"/>
              </w:rPr>
              <w:t>2,401,917,875</w:t>
            </w:r>
          </w:p>
        </w:tc>
      </w:tr>
      <w:tr w:rsidR="00882163" w:rsidTr="00DD12CE">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Pr>
                <w:rFonts w:ascii="Arial" w:hAnsi="Arial" w:cs="Arial"/>
                <w:sz w:val="17"/>
                <w:szCs w:val="17"/>
              </w:rPr>
              <w:t>Impuestos Sobre l</w:t>
            </w:r>
            <w:r w:rsidRPr="00882163">
              <w:rPr>
                <w:rFonts w:ascii="Arial" w:hAnsi="Arial" w:cs="Arial"/>
                <w:sz w:val="17"/>
                <w:szCs w:val="17"/>
              </w:rPr>
              <w:t>os Ingresos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9,725,551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11,875,230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Impuestos Sobre el Patrimonio</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973,348,950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809,374,645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Impuestos Sob</w:t>
            </w:r>
            <w:r>
              <w:rPr>
                <w:rFonts w:ascii="Arial" w:hAnsi="Arial" w:cs="Arial"/>
                <w:sz w:val="17"/>
                <w:szCs w:val="17"/>
              </w:rPr>
              <w:t>re la Producción, el Consumo y l</w:t>
            </w:r>
            <w:r w:rsidRPr="00882163">
              <w:rPr>
                <w:rFonts w:ascii="Arial" w:hAnsi="Arial" w:cs="Arial"/>
                <w:sz w:val="17"/>
                <w:szCs w:val="17"/>
              </w:rPr>
              <w:t>as Transacciones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107,869,135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101,692,521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Impuestos Sobre Nóminas y Asimilables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1,611,548,138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1,409,098,354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Accesorios de Impuestos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23,974,869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20,165,285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882163">
            <w:pPr>
              <w:ind w:left="634"/>
              <w:rPr>
                <w:rFonts w:ascii="Arial" w:hAnsi="Arial" w:cs="Arial"/>
                <w:sz w:val="17"/>
                <w:szCs w:val="17"/>
              </w:rPr>
            </w:pPr>
            <w:r w:rsidRPr="00882163">
              <w:rPr>
                <w:rFonts w:ascii="Arial" w:hAnsi="Arial" w:cs="Arial"/>
                <w:sz w:val="17"/>
                <w:szCs w:val="17"/>
              </w:rPr>
              <w:t>Otros Impuestos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6,536,261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49,711,840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1E79D9" w:rsidRDefault="00882163" w:rsidP="00882163">
            <w:pPr>
              <w:rPr>
                <w:rFonts w:ascii="Arial" w:hAnsi="Arial" w:cs="Arial"/>
                <w:b/>
                <w:sz w:val="17"/>
                <w:szCs w:val="17"/>
              </w:rPr>
            </w:pPr>
            <w:r w:rsidRPr="001E79D9">
              <w:rPr>
                <w:rFonts w:ascii="Arial" w:hAnsi="Arial" w:cs="Arial"/>
                <w:b/>
                <w:sz w:val="17"/>
                <w:szCs w:val="17"/>
              </w:rPr>
              <w:t>Contribuciones de Mejoras por Obras Públicas</w:t>
            </w:r>
          </w:p>
        </w:tc>
        <w:tc>
          <w:tcPr>
            <w:tcW w:w="2180" w:type="dxa"/>
            <w:tcBorders>
              <w:top w:val="nil"/>
              <w:left w:val="nil"/>
              <w:bottom w:val="single" w:sz="4" w:space="0" w:color="auto"/>
              <w:right w:val="single" w:sz="4" w:space="0" w:color="auto"/>
            </w:tcBorders>
            <w:shd w:val="clear" w:color="auto" w:fill="auto"/>
          </w:tcPr>
          <w:p w:rsidR="00882163" w:rsidRPr="001E79D9" w:rsidRDefault="00882163" w:rsidP="00882163">
            <w:pPr>
              <w:jc w:val="right"/>
              <w:rPr>
                <w:rFonts w:ascii="Arial" w:hAnsi="Arial" w:cs="Arial"/>
                <w:b/>
                <w:sz w:val="17"/>
                <w:szCs w:val="17"/>
              </w:rPr>
            </w:pPr>
            <w:r w:rsidRPr="001E79D9">
              <w:rPr>
                <w:rFonts w:ascii="Arial" w:hAnsi="Arial" w:cs="Arial"/>
                <w:b/>
                <w:sz w:val="17"/>
                <w:szCs w:val="17"/>
              </w:rPr>
              <w:t xml:space="preserve">0 </w:t>
            </w:r>
          </w:p>
        </w:tc>
        <w:tc>
          <w:tcPr>
            <w:tcW w:w="2180" w:type="dxa"/>
            <w:tcBorders>
              <w:top w:val="nil"/>
              <w:left w:val="nil"/>
              <w:bottom w:val="single" w:sz="4" w:space="0" w:color="auto"/>
              <w:right w:val="single" w:sz="4" w:space="0" w:color="auto"/>
            </w:tcBorders>
            <w:shd w:val="clear" w:color="auto" w:fill="auto"/>
          </w:tcPr>
          <w:p w:rsidR="00882163" w:rsidRPr="001E79D9" w:rsidRDefault="00882163" w:rsidP="00882163">
            <w:pPr>
              <w:jc w:val="right"/>
              <w:rPr>
                <w:rFonts w:ascii="Arial" w:hAnsi="Arial" w:cs="Arial"/>
                <w:b/>
                <w:sz w:val="17"/>
                <w:szCs w:val="17"/>
              </w:rPr>
            </w:pPr>
            <w:r w:rsidRPr="001E79D9">
              <w:rPr>
                <w:rFonts w:ascii="Arial" w:hAnsi="Arial" w:cs="Arial"/>
                <w:b/>
                <w:sz w:val="17"/>
                <w:szCs w:val="17"/>
              </w:rPr>
              <w:t xml:space="preserve">38,052 </w:t>
            </w:r>
          </w:p>
        </w:tc>
      </w:tr>
      <w:tr w:rsidR="001E79D9"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E79D9" w:rsidRPr="001E79D9" w:rsidRDefault="001E79D9" w:rsidP="00882163">
            <w:pPr>
              <w:rPr>
                <w:rFonts w:ascii="Arial" w:hAnsi="Arial" w:cs="Arial"/>
                <w:b/>
                <w:sz w:val="17"/>
                <w:szCs w:val="17"/>
              </w:rPr>
            </w:pPr>
            <w:r w:rsidRPr="001E79D9">
              <w:rPr>
                <w:rFonts w:ascii="Arial" w:hAnsi="Arial" w:cs="Arial"/>
                <w:b/>
                <w:sz w:val="17"/>
                <w:szCs w:val="17"/>
              </w:rPr>
              <w:t>Derechos</w:t>
            </w:r>
          </w:p>
        </w:tc>
        <w:tc>
          <w:tcPr>
            <w:tcW w:w="2180" w:type="dxa"/>
            <w:tcBorders>
              <w:top w:val="nil"/>
              <w:left w:val="nil"/>
              <w:bottom w:val="single" w:sz="4" w:space="0" w:color="auto"/>
              <w:right w:val="single" w:sz="4" w:space="0" w:color="auto"/>
            </w:tcBorders>
            <w:shd w:val="clear" w:color="auto" w:fill="auto"/>
          </w:tcPr>
          <w:p w:rsidR="001E79D9" w:rsidRPr="001E79D9" w:rsidRDefault="001E79D9" w:rsidP="00882163">
            <w:pPr>
              <w:jc w:val="right"/>
              <w:rPr>
                <w:rFonts w:ascii="Arial" w:hAnsi="Arial" w:cs="Arial"/>
                <w:b/>
                <w:sz w:val="17"/>
                <w:szCs w:val="17"/>
              </w:rPr>
            </w:pPr>
            <w:r w:rsidRPr="001E79D9">
              <w:rPr>
                <w:rFonts w:ascii="Arial" w:hAnsi="Arial" w:cs="Arial"/>
                <w:b/>
                <w:sz w:val="17"/>
                <w:szCs w:val="17"/>
              </w:rPr>
              <w:t>1,196,526,270</w:t>
            </w:r>
          </w:p>
        </w:tc>
        <w:tc>
          <w:tcPr>
            <w:tcW w:w="2180" w:type="dxa"/>
            <w:tcBorders>
              <w:top w:val="nil"/>
              <w:left w:val="nil"/>
              <w:bottom w:val="single" w:sz="4" w:space="0" w:color="auto"/>
              <w:right w:val="single" w:sz="4" w:space="0" w:color="auto"/>
            </w:tcBorders>
            <w:shd w:val="clear" w:color="auto" w:fill="auto"/>
          </w:tcPr>
          <w:p w:rsidR="001E79D9" w:rsidRPr="001E79D9" w:rsidRDefault="001E79D9" w:rsidP="00882163">
            <w:pPr>
              <w:jc w:val="right"/>
              <w:rPr>
                <w:rFonts w:ascii="Arial" w:hAnsi="Arial" w:cs="Arial"/>
                <w:b/>
                <w:sz w:val="17"/>
                <w:szCs w:val="17"/>
              </w:rPr>
            </w:pPr>
            <w:r w:rsidRPr="001E79D9">
              <w:rPr>
                <w:rFonts w:ascii="Arial" w:hAnsi="Arial" w:cs="Arial"/>
                <w:b/>
                <w:sz w:val="17"/>
                <w:szCs w:val="17"/>
              </w:rPr>
              <w:t>1,008,454,079</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Derechos por el Uso, Goce, Aprovechamiento o Explotación de Bienes de Dominio Público</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25,654,623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29,956,283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Derechos por Prestación de Servicios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1,162,641,851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969,591,961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Accesorios de Derechos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8,229,795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8,905,834 </w:t>
            </w:r>
          </w:p>
        </w:tc>
      </w:tr>
      <w:tr w:rsidR="001E79D9" w:rsidRPr="001E79D9"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E79D9" w:rsidRPr="001E79D9" w:rsidRDefault="001E79D9" w:rsidP="001E79D9">
            <w:pPr>
              <w:rPr>
                <w:rFonts w:ascii="Arial" w:hAnsi="Arial" w:cs="Arial"/>
                <w:b/>
                <w:sz w:val="17"/>
                <w:szCs w:val="17"/>
              </w:rPr>
            </w:pPr>
            <w:r w:rsidRPr="001E79D9">
              <w:rPr>
                <w:rFonts w:ascii="Arial" w:hAnsi="Arial" w:cs="Arial"/>
                <w:b/>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1E79D9" w:rsidRPr="001E79D9" w:rsidRDefault="001E79D9" w:rsidP="00882163">
            <w:pPr>
              <w:jc w:val="right"/>
              <w:rPr>
                <w:rFonts w:ascii="Arial" w:hAnsi="Arial" w:cs="Arial"/>
                <w:b/>
                <w:sz w:val="17"/>
                <w:szCs w:val="17"/>
              </w:rPr>
            </w:pPr>
            <w:r w:rsidRPr="001E79D9">
              <w:rPr>
                <w:rFonts w:ascii="Arial" w:hAnsi="Arial" w:cs="Arial"/>
                <w:b/>
                <w:sz w:val="17"/>
                <w:szCs w:val="17"/>
              </w:rPr>
              <w:t>266,188,453</w:t>
            </w:r>
          </w:p>
        </w:tc>
        <w:tc>
          <w:tcPr>
            <w:tcW w:w="2180" w:type="dxa"/>
            <w:tcBorders>
              <w:top w:val="nil"/>
              <w:left w:val="nil"/>
              <w:bottom w:val="single" w:sz="4" w:space="0" w:color="auto"/>
              <w:right w:val="single" w:sz="4" w:space="0" w:color="auto"/>
            </w:tcBorders>
            <w:shd w:val="clear" w:color="auto" w:fill="auto"/>
          </w:tcPr>
          <w:p w:rsidR="001E79D9" w:rsidRPr="001E79D9" w:rsidRDefault="001E79D9" w:rsidP="00882163">
            <w:pPr>
              <w:jc w:val="right"/>
              <w:rPr>
                <w:rFonts w:ascii="Arial" w:hAnsi="Arial" w:cs="Arial"/>
                <w:b/>
                <w:sz w:val="17"/>
                <w:szCs w:val="17"/>
              </w:rPr>
            </w:pPr>
            <w:r w:rsidRPr="001E79D9">
              <w:rPr>
                <w:rFonts w:ascii="Arial" w:hAnsi="Arial" w:cs="Arial"/>
                <w:b/>
                <w:sz w:val="17"/>
                <w:szCs w:val="17"/>
              </w:rPr>
              <w:t>146,525,577</w:t>
            </w:r>
          </w:p>
        </w:tc>
      </w:tr>
      <w:tr w:rsidR="00882163" w:rsidTr="00DD12CE">
        <w:trPr>
          <w:trHeight w:val="105"/>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Productos Derivados del Uso y Aprovechamiento de Bienes no Sujetos a Régimen de Dominio Público</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39,845,972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63,680,772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0D4481" w:rsidP="001E79D9">
            <w:pPr>
              <w:ind w:left="634"/>
              <w:rPr>
                <w:rFonts w:ascii="Arial" w:hAnsi="Arial" w:cs="Arial"/>
                <w:sz w:val="17"/>
                <w:szCs w:val="17"/>
              </w:rPr>
            </w:pPr>
            <w:r>
              <w:rPr>
                <w:rFonts w:ascii="Arial" w:hAnsi="Arial" w:cs="Arial"/>
                <w:sz w:val="17"/>
                <w:szCs w:val="17"/>
              </w:rPr>
              <w:t>Otros Productos q</w:t>
            </w:r>
            <w:r w:rsidR="00882163" w:rsidRPr="00882163">
              <w:rPr>
                <w:rFonts w:ascii="Arial" w:hAnsi="Arial" w:cs="Arial"/>
                <w:sz w:val="17"/>
                <w:szCs w:val="17"/>
              </w:rPr>
              <w:t>ue Generan Ingresos Corrientes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226,342,481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82,844,805 </w:t>
            </w:r>
          </w:p>
        </w:tc>
      </w:tr>
      <w:tr w:rsidR="00FE184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E1843" w:rsidRPr="001E79D9" w:rsidRDefault="00FE1843" w:rsidP="00FE1843">
            <w:pPr>
              <w:rPr>
                <w:rFonts w:ascii="Arial" w:hAnsi="Arial" w:cs="Arial"/>
                <w:b/>
                <w:sz w:val="17"/>
                <w:szCs w:val="17"/>
              </w:rPr>
            </w:pPr>
            <w:r w:rsidRPr="001E79D9">
              <w:rPr>
                <w:rFonts w:ascii="Arial" w:hAnsi="Arial" w:cs="Arial"/>
                <w:b/>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b/>
                <w:sz w:val="17"/>
                <w:szCs w:val="17"/>
              </w:rPr>
            </w:pPr>
            <w:r w:rsidRPr="00FE1843">
              <w:rPr>
                <w:rFonts w:ascii="Arial" w:hAnsi="Arial" w:cs="Arial"/>
                <w:b/>
                <w:sz w:val="17"/>
                <w:szCs w:val="17"/>
              </w:rPr>
              <w:t>772,184,375</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b/>
                <w:sz w:val="17"/>
                <w:szCs w:val="17"/>
              </w:rPr>
            </w:pPr>
            <w:r w:rsidRPr="00FE1843">
              <w:rPr>
                <w:rFonts w:ascii="Arial" w:hAnsi="Arial" w:cs="Arial"/>
                <w:b/>
                <w:sz w:val="17"/>
                <w:szCs w:val="17"/>
              </w:rPr>
              <w:t>710,323,432</w:t>
            </w:r>
          </w:p>
        </w:tc>
      </w:tr>
      <w:tr w:rsidR="00FE184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E1843" w:rsidRPr="00882163" w:rsidRDefault="00FE1843" w:rsidP="00FE1843">
            <w:pPr>
              <w:ind w:left="634"/>
              <w:rPr>
                <w:rFonts w:ascii="Arial" w:hAnsi="Arial" w:cs="Arial"/>
                <w:sz w:val="17"/>
                <w:szCs w:val="17"/>
              </w:rPr>
            </w:pPr>
            <w:r w:rsidRPr="00882163">
              <w:rPr>
                <w:rFonts w:ascii="Arial" w:hAnsi="Arial" w:cs="Arial"/>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664,705,072</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537,398,122</w:t>
            </w:r>
          </w:p>
        </w:tc>
      </w:tr>
      <w:tr w:rsidR="00FE184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E1843" w:rsidRPr="00882163" w:rsidRDefault="00FE1843" w:rsidP="00FE1843">
            <w:pPr>
              <w:ind w:left="634"/>
              <w:rPr>
                <w:rFonts w:ascii="Arial" w:hAnsi="Arial" w:cs="Arial"/>
                <w:sz w:val="17"/>
                <w:szCs w:val="17"/>
              </w:rPr>
            </w:pPr>
            <w:r w:rsidRPr="00882163">
              <w:rPr>
                <w:rFonts w:ascii="Arial" w:hAnsi="Arial" w:cs="Arial"/>
                <w:sz w:val="17"/>
                <w:szCs w:val="17"/>
              </w:rPr>
              <w:t>Multas</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63,448,074</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33,314,740</w:t>
            </w:r>
          </w:p>
        </w:tc>
      </w:tr>
      <w:tr w:rsidR="00FE184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E1843" w:rsidRPr="00882163" w:rsidRDefault="00FE1843" w:rsidP="00FE1843">
            <w:pPr>
              <w:ind w:left="634"/>
              <w:rPr>
                <w:rFonts w:ascii="Arial" w:hAnsi="Arial" w:cs="Arial"/>
                <w:sz w:val="17"/>
                <w:szCs w:val="17"/>
              </w:rPr>
            </w:pPr>
            <w:r w:rsidRPr="00882163">
              <w:rPr>
                <w:rFonts w:ascii="Arial" w:hAnsi="Arial" w:cs="Arial"/>
                <w:sz w:val="17"/>
                <w:szCs w:val="17"/>
              </w:rPr>
              <w:t>Indemnizaciones</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493,721</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628,294</w:t>
            </w:r>
          </w:p>
        </w:tc>
      </w:tr>
      <w:tr w:rsidR="00FE184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E1843" w:rsidRPr="00882163" w:rsidRDefault="00FE1843" w:rsidP="00FE1843">
            <w:pPr>
              <w:ind w:left="634"/>
              <w:rPr>
                <w:rFonts w:ascii="Arial" w:hAnsi="Arial" w:cs="Arial"/>
                <w:sz w:val="17"/>
                <w:szCs w:val="17"/>
              </w:rPr>
            </w:pPr>
            <w:r w:rsidRPr="00882163">
              <w:rPr>
                <w:rFonts w:ascii="Arial" w:hAnsi="Arial" w:cs="Arial"/>
                <w:sz w:val="17"/>
                <w:szCs w:val="17"/>
              </w:rPr>
              <w:t>Reintegros</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11,354,688</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47,596,559</w:t>
            </w:r>
          </w:p>
        </w:tc>
      </w:tr>
      <w:tr w:rsidR="00FE184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E1843" w:rsidRPr="00882163" w:rsidRDefault="00FE1843" w:rsidP="00FE1843">
            <w:pPr>
              <w:ind w:left="634"/>
              <w:rPr>
                <w:rFonts w:ascii="Arial" w:hAnsi="Arial" w:cs="Arial"/>
                <w:sz w:val="17"/>
                <w:szCs w:val="17"/>
              </w:rPr>
            </w:pPr>
            <w:r w:rsidRPr="00882163">
              <w:rPr>
                <w:rFonts w:ascii="Arial" w:hAnsi="Arial" w:cs="Arial"/>
                <w:sz w:val="17"/>
                <w:szCs w:val="17"/>
              </w:rPr>
              <w:t>Otros Aprovechamientos</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32,182,820</w:t>
            </w:r>
          </w:p>
        </w:tc>
        <w:tc>
          <w:tcPr>
            <w:tcW w:w="2180" w:type="dxa"/>
            <w:tcBorders>
              <w:top w:val="nil"/>
              <w:left w:val="nil"/>
              <w:bottom w:val="single" w:sz="4" w:space="0" w:color="auto"/>
              <w:right w:val="single" w:sz="4" w:space="0" w:color="auto"/>
            </w:tcBorders>
            <w:shd w:val="clear" w:color="auto" w:fill="auto"/>
          </w:tcPr>
          <w:p w:rsidR="00FE1843" w:rsidRPr="00FE1843" w:rsidRDefault="00FE1843" w:rsidP="00FE1843">
            <w:pPr>
              <w:jc w:val="right"/>
              <w:rPr>
                <w:rFonts w:ascii="Arial" w:hAnsi="Arial" w:cs="Arial"/>
                <w:sz w:val="17"/>
                <w:szCs w:val="17"/>
              </w:rPr>
            </w:pPr>
            <w:r w:rsidRPr="00FE1843">
              <w:rPr>
                <w:rFonts w:ascii="Arial" w:hAnsi="Arial" w:cs="Arial"/>
                <w:sz w:val="17"/>
                <w:szCs w:val="17"/>
              </w:rPr>
              <w:t>91,385,716</w:t>
            </w:r>
          </w:p>
        </w:tc>
      </w:tr>
      <w:tr w:rsidR="001E79D9"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E79D9" w:rsidRPr="001E79D9" w:rsidRDefault="001E79D9" w:rsidP="001E79D9">
            <w:pPr>
              <w:rPr>
                <w:rFonts w:ascii="Arial" w:hAnsi="Arial" w:cs="Arial"/>
                <w:b/>
                <w:sz w:val="17"/>
                <w:szCs w:val="17"/>
              </w:rPr>
            </w:pPr>
            <w:r w:rsidRPr="001E79D9">
              <w:rPr>
                <w:rFonts w:ascii="Arial" w:hAnsi="Arial" w:cs="Arial"/>
                <w:b/>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1E79D9" w:rsidRPr="001E79D9" w:rsidRDefault="001E79D9" w:rsidP="00882163">
            <w:pPr>
              <w:jc w:val="right"/>
              <w:rPr>
                <w:rFonts w:ascii="Arial" w:hAnsi="Arial" w:cs="Arial"/>
                <w:b/>
                <w:sz w:val="17"/>
                <w:szCs w:val="17"/>
              </w:rPr>
            </w:pPr>
            <w:r w:rsidRPr="001E79D9">
              <w:rPr>
                <w:rFonts w:ascii="Arial" w:hAnsi="Arial" w:cs="Arial"/>
                <w:b/>
                <w:sz w:val="17"/>
                <w:szCs w:val="17"/>
              </w:rPr>
              <w:t>321,018</w:t>
            </w:r>
          </w:p>
        </w:tc>
        <w:tc>
          <w:tcPr>
            <w:tcW w:w="2180" w:type="dxa"/>
            <w:tcBorders>
              <w:top w:val="nil"/>
              <w:left w:val="nil"/>
              <w:bottom w:val="single" w:sz="4" w:space="0" w:color="auto"/>
              <w:right w:val="single" w:sz="4" w:space="0" w:color="auto"/>
            </w:tcBorders>
            <w:shd w:val="clear" w:color="auto" w:fill="auto"/>
          </w:tcPr>
          <w:p w:rsidR="001E79D9" w:rsidRPr="001E79D9" w:rsidRDefault="001E79D9" w:rsidP="00882163">
            <w:pPr>
              <w:jc w:val="right"/>
              <w:rPr>
                <w:rFonts w:ascii="Arial" w:hAnsi="Arial" w:cs="Arial"/>
                <w:b/>
                <w:sz w:val="17"/>
                <w:szCs w:val="17"/>
              </w:rPr>
            </w:pPr>
            <w:r w:rsidRPr="001E79D9">
              <w:rPr>
                <w:rFonts w:ascii="Arial" w:hAnsi="Arial" w:cs="Arial"/>
                <w:b/>
                <w:sz w:val="17"/>
                <w:szCs w:val="17"/>
              </w:rPr>
              <w:t>72,850,454</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Ingresos por Venta de Mercancías</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72,483,746 </w:t>
            </w:r>
          </w:p>
        </w:tc>
      </w:tr>
      <w:tr w:rsidR="00882163"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82163" w:rsidRPr="00882163" w:rsidRDefault="00882163" w:rsidP="001E79D9">
            <w:pPr>
              <w:ind w:left="634"/>
              <w:rPr>
                <w:rFonts w:ascii="Arial" w:hAnsi="Arial" w:cs="Arial"/>
                <w:sz w:val="17"/>
                <w:szCs w:val="17"/>
              </w:rPr>
            </w:pPr>
            <w:r w:rsidRPr="00882163">
              <w:rPr>
                <w:rFonts w:ascii="Arial" w:hAnsi="Arial" w:cs="Arial"/>
                <w:sz w:val="17"/>
                <w:szCs w:val="17"/>
              </w:rPr>
              <w:t>Ingresos por Venta de Bienes y Servicios Producidos en Establecimientos del Gobierno</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321,018 </w:t>
            </w:r>
          </w:p>
        </w:tc>
        <w:tc>
          <w:tcPr>
            <w:tcW w:w="2180" w:type="dxa"/>
            <w:tcBorders>
              <w:top w:val="nil"/>
              <w:left w:val="nil"/>
              <w:bottom w:val="single" w:sz="4" w:space="0" w:color="auto"/>
              <w:right w:val="single" w:sz="4" w:space="0" w:color="auto"/>
            </w:tcBorders>
            <w:shd w:val="clear" w:color="auto" w:fill="auto"/>
          </w:tcPr>
          <w:p w:rsidR="00882163" w:rsidRPr="00882163" w:rsidRDefault="00882163" w:rsidP="00882163">
            <w:pPr>
              <w:jc w:val="right"/>
              <w:rPr>
                <w:rFonts w:ascii="Arial" w:hAnsi="Arial" w:cs="Arial"/>
                <w:sz w:val="17"/>
                <w:szCs w:val="17"/>
              </w:rPr>
            </w:pPr>
            <w:r w:rsidRPr="00882163">
              <w:rPr>
                <w:rFonts w:ascii="Arial" w:hAnsi="Arial" w:cs="Arial"/>
                <w:sz w:val="17"/>
                <w:szCs w:val="17"/>
              </w:rPr>
              <w:t xml:space="preserve">366,708 </w:t>
            </w:r>
          </w:p>
        </w:tc>
      </w:tr>
      <w:tr w:rsidR="000008C2" w:rsidRPr="002D70DA" w:rsidTr="00882163">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4A3D23" w:rsidP="000008C2">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FE1843" w:rsidP="000008C2">
            <w:pPr>
              <w:jc w:val="right"/>
              <w:rPr>
                <w:rFonts w:ascii="Arial" w:hAnsi="Arial" w:cs="Arial"/>
                <w:b/>
                <w:bCs/>
                <w:color w:val="000000"/>
                <w:sz w:val="17"/>
                <w:szCs w:val="17"/>
              </w:rPr>
            </w:pPr>
            <w:r w:rsidRPr="00FE1843">
              <w:rPr>
                <w:rFonts w:ascii="Arial" w:hAnsi="Arial" w:cs="Arial"/>
                <w:b/>
                <w:bCs/>
                <w:color w:val="000000"/>
                <w:sz w:val="17"/>
                <w:szCs w:val="17"/>
                <w14:numForm w14:val="lining"/>
              </w:rPr>
              <w:t>4,968,223,0</w:t>
            </w:r>
            <w:r>
              <w:rPr>
                <w:rFonts w:ascii="Arial" w:hAnsi="Arial" w:cs="Arial"/>
                <w:b/>
                <w:bCs/>
                <w:color w:val="000000"/>
                <w:sz w:val="17"/>
                <w:szCs w:val="17"/>
                <w14:numForm w14:val="lining"/>
              </w:rPr>
              <w:t>20</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0008C2" w:rsidRPr="004A3D23" w:rsidRDefault="00FE1843" w:rsidP="00882163">
            <w:pPr>
              <w:jc w:val="right"/>
              <w:rPr>
                <w:rFonts w:ascii="Arial" w:hAnsi="Arial" w:cs="Arial"/>
                <w:b/>
                <w:color w:val="000000"/>
                <w:sz w:val="17"/>
                <w:szCs w:val="17"/>
              </w:rPr>
            </w:pPr>
            <w:r w:rsidRPr="00FE1843">
              <w:rPr>
                <w:rFonts w:ascii="Arial" w:hAnsi="Arial" w:cs="Arial"/>
                <w:b/>
                <w:color w:val="000000"/>
                <w:sz w:val="17"/>
                <w:szCs w:val="17"/>
              </w:rPr>
              <w:t>4,340,109,46</w:t>
            </w:r>
            <w:r>
              <w:rPr>
                <w:rFonts w:ascii="Arial" w:hAnsi="Arial" w:cs="Arial"/>
                <w:b/>
                <w:color w:val="000000"/>
                <w:sz w:val="17"/>
                <w:szCs w:val="17"/>
              </w:rPr>
              <w:t>7</w:t>
            </w:r>
          </w:p>
        </w:tc>
      </w:tr>
    </w:tbl>
    <w:p w:rsidR="000008C2" w:rsidRPr="002D70DA" w:rsidRDefault="00EC5EBA" w:rsidP="001E50BC">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Los ingresos de gestión reflejan un incremento del 14% derivado principalmente de mayor recaudaci</w:t>
      </w:r>
      <w:r w:rsidR="004A3D23">
        <w:rPr>
          <w:rFonts w:ascii="Arial" w:eastAsia="Calibri" w:hAnsi="Arial" w:cs="Arial"/>
          <w:spacing w:val="-1"/>
          <w:sz w:val="17"/>
          <w:szCs w:val="17"/>
        </w:rPr>
        <w:t>ón en el I</w:t>
      </w:r>
      <w:r>
        <w:rPr>
          <w:rFonts w:ascii="Arial" w:eastAsia="Calibri" w:hAnsi="Arial" w:cs="Arial"/>
          <w:spacing w:val="-1"/>
          <w:sz w:val="17"/>
          <w:szCs w:val="17"/>
        </w:rPr>
        <w:t xml:space="preserve">mpuesto </w:t>
      </w:r>
      <w:r w:rsidR="00E56BB1">
        <w:rPr>
          <w:rFonts w:ascii="Arial" w:eastAsia="Calibri" w:hAnsi="Arial" w:cs="Arial"/>
          <w:spacing w:val="-1"/>
          <w:sz w:val="17"/>
          <w:szCs w:val="17"/>
        </w:rPr>
        <w:t>S</w:t>
      </w:r>
      <w:r>
        <w:rPr>
          <w:rFonts w:ascii="Arial" w:eastAsia="Calibri" w:hAnsi="Arial" w:cs="Arial"/>
          <w:spacing w:val="-1"/>
          <w:sz w:val="17"/>
          <w:szCs w:val="17"/>
        </w:rPr>
        <w:t xml:space="preserve">obre </w:t>
      </w:r>
      <w:r w:rsidR="00E56BB1">
        <w:rPr>
          <w:rFonts w:ascii="Arial" w:eastAsia="Calibri" w:hAnsi="Arial" w:cs="Arial"/>
          <w:spacing w:val="-1"/>
          <w:sz w:val="17"/>
          <w:szCs w:val="17"/>
        </w:rPr>
        <w:t>T</w:t>
      </w:r>
      <w:r>
        <w:rPr>
          <w:rFonts w:ascii="Arial" w:eastAsia="Calibri" w:hAnsi="Arial" w:cs="Arial"/>
          <w:spacing w:val="-1"/>
          <w:sz w:val="17"/>
          <w:szCs w:val="17"/>
        </w:rPr>
        <w:t xml:space="preserve">enencia </w:t>
      </w:r>
      <w:r w:rsidR="00E56BB1">
        <w:rPr>
          <w:rFonts w:ascii="Arial" w:eastAsia="Calibri" w:hAnsi="Arial" w:cs="Arial"/>
          <w:spacing w:val="-1"/>
          <w:sz w:val="17"/>
          <w:szCs w:val="17"/>
        </w:rPr>
        <w:t xml:space="preserve">o Uso </w:t>
      </w:r>
      <w:r>
        <w:rPr>
          <w:rFonts w:ascii="Arial" w:eastAsia="Calibri" w:hAnsi="Arial" w:cs="Arial"/>
          <w:spacing w:val="-1"/>
          <w:sz w:val="17"/>
          <w:szCs w:val="17"/>
        </w:rPr>
        <w:t xml:space="preserve">de </w:t>
      </w:r>
      <w:r w:rsidR="00E56BB1">
        <w:rPr>
          <w:rFonts w:ascii="Arial" w:eastAsia="Calibri" w:hAnsi="Arial" w:cs="Arial"/>
          <w:spacing w:val="-1"/>
          <w:sz w:val="17"/>
          <w:szCs w:val="17"/>
        </w:rPr>
        <w:t>V</w:t>
      </w:r>
      <w:r>
        <w:rPr>
          <w:rFonts w:ascii="Arial" w:eastAsia="Calibri" w:hAnsi="Arial" w:cs="Arial"/>
          <w:spacing w:val="-1"/>
          <w:sz w:val="17"/>
          <w:szCs w:val="17"/>
        </w:rPr>
        <w:t>ehículos</w:t>
      </w:r>
      <w:r w:rsidR="00E56BB1">
        <w:rPr>
          <w:rFonts w:ascii="Arial" w:eastAsia="Calibri" w:hAnsi="Arial" w:cs="Arial"/>
          <w:spacing w:val="-1"/>
          <w:sz w:val="17"/>
          <w:szCs w:val="17"/>
        </w:rPr>
        <w:t>,</w:t>
      </w:r>
      <w:r>
        <w:rPr>
          <w:rFonts w:ascii="Arial" w:eastAsia="Calibri" w:hAnsi="Arial" w:cs="Arial"/>
          <w:spacing w:val="-1"/>
          <w:sz w:val="17"/>
          <w:szCs w:val="17"/>
        </w:rPr>
        <w:t xml:space="preserve"> aunado al crecimiento económico que vive hoy día el Estado de Querétaro y a</w:t>
      </w:r>
      <w:r w:rsidR="004A3D23">
        <w:rPr>
          <w:rFonts w:ascii="Arial" w:eastAsia="Calibri" w:hAnsi="Arial" w:cs="Arial"/>
          <w:spacing w:val="-1"/>
          <w:sz w:val="17"/>
          <w:szCs w:val="17"/>
        </w:rPr>
        <w:t>l incremento en</w:t>
      </w:r>
      <w:r>
        <w:rPr>
          <w:rFonts w:ascii="Arial" w:eastAsia="Calibri" w:hAnsi="Arial" w:cs="Arial"/>
          <w:spacing w:val="-1"/>
          <w:sz w:val="17"/>
          <w:szCs w:val="17"/>
        </w:rPr>
        <w:t xml:space="preserve"> la generación de empleo, se presenta también un </w:t>
      </w:r>
      <w:r w:rsidR="004A3D23">
        <w:rPr>
          <w:rFonts w:ascii="Arial" w:eastAsia="Calibri" w:hAnsi="Arial" w:cs="Arial"/>
          <w:spacing w:val="-1"/>
          <w:sz w:val="17"/>
          <w:szCs w:val="17"/>
        </w:rPr>
        <w:t>aumento</w:t>
      </w:r>
      <w:r>
        <w:rPr>
          <w:rFonts w:ascii="Arial" w:eastAsia="Calibri" w:hAnsi="Arial" w:cs="Arial"/>
          <w:spacing w:val="-1"/>
          <w:sz w:val="17"/>
          <w:szCs w:val="17"/>
        </w:rPr>
        <w:t xml:space="preserve"> en la recaudación del Impuesto Sobre Nóminas.</w:t>
      </w:r>
    </w:p>
    <w:p w:rsidR="00041BED" w:rsidRDefault="00041BED" w:rsidP="00CF338E">
      <w:pPr>
        <w:spacing w:before="80" w:line="250" w:lineRule="exact"/>
        <w:ind w:left="709"/>
        <w:jc w:val="both"/>
        <w:rPr>
          <w:rFonts w:ascii="Arial" w:eastAsia="Calibri" w:hAnsi="Arial" w:cs="Arial"/>
          <w:spacing w:val="-1"/>
          <w:sz w:val="17"/>
          <w:szCs w:val="17"/>
        </w:rPr>
      </w:pPr>
    </w:p>
    <w:p w:rsidR="00577A8F" w:rsidRPr="001E50BC" w:rsidRDefault="00577A8F" w:rsidP="001E50BC">
      <w:pPr>
        <w:pStyle w:val="Prrafodelista"/>
        <w:numPr>
          <w:ilvl w:val="0"/>
          <w:numId w:val="48"/>
        </w:numPr>
        <w:spacing w:before="80" w:line="250" w:lineRule="exact"/>
        <w:jc w:val="both"/>
        <w:rPr>
          <w:rFonts w:ascii="Arial" w:eastAsia="Calibri" w:hAnsi="Arial" w:cs="Arial"/>
          <w:b/>
          <w:spacing w:val="-1"/>
          <w:sz w:val="17"/>
          <w:szCs w:val="17"/>
        </w:rPr>
      </w:pPr>
      <w:r w:rsidRPr="001E50BC">
        <w:rPr>
          <w:rFonts w:ascii="Arial" w:eastAsia="Calibri" w:hAnsi="Arial" w:cs="Arial"/>
          <w:b/>
          <w:spacing w:val="-1"/>
          <w:sz w:val="17"/>
          <w:szCs w:val="17"/>
        </w:rPr>
        <w:t>Otros Ingresos y Beneficios</w:t>
      </w:r>
    </w:p>
    <w:p w:rsidR="00577A8F" w:rsidRDefault="00577A8F"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EE16EB" w:rsidRPr="002D70DA">
        <w:rPr>
          <w:rFonts w:ascii="Arial" w:eastAsia="Calibri" w:hAnsi="Arial" w:cs="Arial"/>
          <w:spacing w:val="-1"/>
          <w:sz w:val="17"/>
          <w:szCs w:val="17"/>
        </w:rPr>
        <w:t xml:space="preserve">el monto </w:t>
      </w:r>
      <w:r w:rsidR="00041BED">
        <w:rPr>
          <w:rFonts w:ascii="Arial" w:eastAsia="Calibri" w:hAnsi="Arial" w:cs="Arial"/>
          <w:spacing w:val="-1"/>
          <w:sz w:val="17"/>
          <w:szCs w:val="17"/>
        </w:rPr>
        <w:t xml:space="preserve">de </w:t>
      </w:r>
      <w:r w:rsidR="00577A8F">
        <w:rPr>
          <w:rFonts w:ascii="Arial" w:eastAsia="Calibri" w:hAnsi="Arial" w:cs="Arial"/>
          <w:spacing w:val="-1"/>
          <w:sz w:val="17"/>
          <w:szCs w:val="17"/>
        </w:rPr>
        <w:t xml:space="preserve">la cuenta </w:t>
      </w:r>
      <w:r w:rsidR="00577A8F" w:rsidRPr="00577A8F">
        <w:rPr>
          <w:rFonts w:ascii="Arial" w:eastAsia="Calibri" w:hAnsi="Arial" w:cs="Arial"/>
          <w:spacing w:val="-1"/>
          <w:sz w:val="17"/>
          <w:szCs w:val="17"/>
        </w:rPr>
        <w:t xml:space="preserve">Otros Ingresos y Beneficios Varios </w:t>
      </w:r>
      <w:r w:rsidR="00CB402D">
        <w:rPr>
          <w:rFonts w:ascii="Arial" w:eastAsia="Calibri" w:hAnsi="Arial" w:cs="Arial"/>
          <w:spacing w:val="-1"/>
          <w:sz w:val="17"/>
          <w:szCs w:val="17"/>
        </w:rPr>
        <w:t xml:space="preserve">por </w:t>
      </w:r>
      <w:r w:rsidR="00041BED">
        <w:rPr>
          <w:rFonts w:ascii="Arial" w:eastAsia="Calibri" w:hAnsi="Arial" w:cs="Arial"/>
          <w:spacing w:val="-1"/>
          <w:sz w:val="17"/>
          <w:szCs w:val="17"/>
        </w:rPr>
        <w:t xml:space="preserve">595,183,096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00EE16EB" w:rsidRPr="002D70DA">
        <w:rPr>
          <w:rFonts w:ascii="Arial" w:eastAsia="Calibri" w:hAnsi="Arial" w:cs="Arial"/>
          <w:spacing w:val="-1"/>
          <w:sz w:val="17"/>
          <w:szCs w:val="17"/>
        </w:rPr>
        <w:t xml:space="preserve">, </w:t>
      </w:r>
      <w:r w:rsidR="00041BED">
        <w:rPr>
          <w:rFonts w:ascii="Arial" w:eastAsia="Calibri" w:hAnsi="Arial" w:cs="Arial"/>
          <w:spacing w:val="-1"/>
          <w:sz w:val="17"/>
          <w:szCs w:val="17"/>
        </w:rPr>
        <w:t xml:space="preserve">correspondiente al registro de </w:t>
      </w:r>
      <w:r w:rsidR="00CB402D">
        <w:rPr>
          <w:rFonts w:ascii="Arial" w:eastAsia="Calibri" w:hAnsi="Arial" w:cs="Arial"/>
          <w:spacing w:val="-1"/>
          <w:sz w:val="17"/>
          <w:szCs w:val="17"/>
        </w:rPr>
        <w:t>los ingresos percibidos por los Fideicomisos.</w:t>
      </w:r>
    </w:p>
    <w:p w:rsidR="002773E2" w:rsidRPr="005540CE" w:rsidRDefault="002773E2" w:rsidP="002773E2">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6834" w:type="dxa"/>
        <w:jc w:val="center"/>
        <w:tblCellMar>
          <w:left w:w="70" w:type="dxa"/>
          <w:right w:w="70" w:type="dxa"/>
        </w:tblCellMar>
        <w:tblLook w:val="04A0" w:firstRow="1" w:lastRow="0" w:firstColumn="1" w:lastColumn="0" w:noHBand="0" w:noVBand="1"/>
      </w:tblPr>
      <w:tblGrid>
        <w:gridCol w:w="4743"/>
        <w:gridCol w:w="2091"/>
      </w:tblGrid>
      <w:tr w:rsidR="002773E2" w:rsidRPr="002D70DA" w:rsidTr="001E50BC">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73E2" w:rsidRPr="002D70DA" w:rsidRDefault="002773E2"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2773E2" w:rsidRPr="002D70DA" w:rsidRDefault="002773E2" w:rsidP="00603D16">
            <w:pPr>
              <w:jc w:val="center"/>
              <w:rPr>
                <w:rFonts w:ascii="Arial" w:hAnsi="Arial" w:cs="Arial"/>
                <w:b/>
                <w:bCs/>
                <w:color w:val="000000"/>
                <w:sz w:val="17"/>
                <w:szCs w:val="17"/>
              </w:rPr>
            </w:pPr>
            <w:r>
              <w:rPr>
                <w:rFonts w:ascii="Arial" w:hAnsi="Arial" w:cs="Arial"/>
                <w:b/>
                <w:bCs/>
                <w:color w:val="000000"/>
                <w:sz w:val="17"/>
                <w:szCs w:val="17"/>
              </w:rPr>
              <w:t>Monto</w:t>
            </w:r>
          </w:p>
        </w:tc>
      </w:tr>
      <w:tr w:rsidR="002773E2" w:rsidRPr="00A05A53" w:rsidTr="001E50B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 xml:space="preserve">Fondo de fomento agropecuario del </w:t>
            </w:r>
            <w:r>
              <w:rPr>
                <w:rFonts w:ascii="Arial" w:hAnsi="Arial" w:cs="Arial"/>
                <w:sz w:val="17"/>
                <w:szCs w:val="17"/>
              </w:rPr>
              <w:t>E</w:t>
            </w:r>
            <w:r w:rsidRPr="002773E2">
              <w:rPr>
                <w:rFonts w:ascii="Arial" w:hAnsi="Arial" w:cs="Arial"/>
                <w:sz w:val="17"/>
                <w:szCs w:val="17"/>
              </w:rPr>
              <w:t xml:space="preserve">stado de </w:t>
            </w:r>
            <w:r>
              <w:rPr>
                <w:rFonts w:ascii="Arial" w:hAnsi="Arial" w:cs="Arial"/>
                <w:sz w:val="17"/>
                <w:szCs w:val="17"/>
              </w:rPr>
              <w:t>Q</w:t>
            </w:r>
            <w:r w:rsidRPr="002773E2">
              <w:rPr>
                <w:rFonts w:ascii="Arial" w:hAnsi="Arial" w:cs="Arial"/>
                <w:sz w:val="17"/>
                <w:szCs w:val="17"/>
              </w:rPr>
              <w:t>uerétaro (FOFAE)</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435,276,272 </w:t>
            </w:r>
          </w:p>
        </w:tc>
      </w:tr>
      <w:tr w:rsidR="002773E2" w:rsidRPr="00A05A53" w:rsidTr="001E50B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Fideicomiso para la</w:t>
            </w:r>
            <w:r>
              <w:rPr>
                <w:rFonts w:ascii="Arial" w:hAnsi="Arial" w:cs="Arial"/>
                <w:sz w:val="17"/>
                <w:szCs w:val="17"/>
              </w:rPr>
              <w:t xml:space="preserve"> </w:t>
            </w:r>
            <w:r w:rsidRPr="002773E2">
              <w:rPr>
                <w:rFonts w:ascii="Arial" w:hAnsi="Arial" w:cs="Arial"/>
                <w:sz w:val="17"/>
                <w:szCs w:val="17"/>
              </w:rPr>
              <w:t xml:space="preserve">vivienda del magisterio de </w:t>
            </w:r>
            <w:r>
              <w:rPr>
                <w:rFonts w:ascii="Arial" w:hAnsi="Arial" w:cs="Arial"/>
                <w:sz w:val="17"/>
                <w:szCs w:val="17"/>
              </w:rPr>
              <w:t>Q</w:t>
            </w:r>
            <w:r w:rsidRPr="002773E2">
              <w:rPr>
                <w:rFonts w:ascii="Arial" w:hAnsi="Arial" w:cs="Arial"/>
                <w:sz w:val="17"/>
                <w:szCs w:val="17"/>
              </w:rPr>
              <w:t>uerétaro</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69,609,883 </w:t>
            </w:r>
          </w:p>
        </w:tc>
      </w:tr>
      <w:tr w:rsidR="002773E2" w:rsidRPr="00A05A53" w:rsidTr="001E50B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 xml:space="preserve">Fideicomiso fondo de diversificación productiva en la </w:t>
            </w:r>
            <w:r>
              <w:rPr>
                <w:rFonts w:ascii="Arial" w:hAnsi="Arial" w:cs="Arial"/>
                <w:sz w:val="17"/>
                <w:szCs w:val="17"/>
              </w:rPr>
              <w:t>Sierra G</w:t>
            </w:r>
            <w:r w:rsidRPr="002773E2">
              <w:rPr>
                <w:rFonts w:ascii="Arial" w:hAnsi="Arial" w:cs="Arial"/>
                <w:sz w:val="17"/>
                <w:szCs w:val="17"/>
              </w:rPr>
              <w:t>orda</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17,375 </w:t>
            </w:r>
          </w:p>
        </w:tc>
      </w:tr>
      <w:tr w:rsidR="002773E2" w:rsidRPr="00A05A53" w:rsidTr="001E50B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 xml:space="preserve">Fideicomiso de administración e inversión 244/2 de la </w:t>
            </w:r>
            <w:r>
              <w:rPr>
                <w:rFonts w:ascii="Arial" w:hAnsi="Arial" w:cs="Arial"/>
                <w:sz w:val="17"/>
                <w:szCs w:val="17"/>
              </w:rPr>
              <w:t>F</w:t>
            </w:r>
            <w:r w:rsidRPr="002773E2">
              <w:rPr>
                <w:rFonts w:ascii="Arial" w:hAnsi="Arial" w:cs="Arial"/>
                <w:sz w:val="17"/>
                <w:szCs w:val="17"/>
              </w:rPr>
              <w:t>ilarmónica de Querétaro</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647 </w:t>
            </w:r>
          </w:p>
        </w:tc>
      </w:tr>
      <w:tr w:rsidR="002773E2" w:rsidRPr="00A05A53" w:rsidTr="001E50B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PRONABES</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70,754,245 </w:t>
            </w:r>
          </w:p>
        </w:tc>
      </w:tr>
      <w:tr w:rsidR="002773E2" w:rsidRPr="00A05A53" w:rsidTr="001E50B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Fideicomiso irrevocable de inversión, administración y garantía "FIRE</w:t>
            </w:r>
            <w:r>
              <w:rPr>
                <w:rFonts w:ascii="Arial" w:hAnsi="Arial" w:cs="Arial"/>
                <w:sz w:val="17"/>
                <w:szCs w:val="17"/>
              </w:rPr>
              <w:t xml:space="preserve"> </w:t>
            </w:r>
            <w:r w:rsidRPr="002773E2">
              <w:rPr>
                <w:rFonts w:ascii="Arial" w:hAnsi="Arial" w:cs="Arial"/>
                <w:sz w:val="17"/>
                <w:szCs w:val="17"/>
              </w:rPr>
              <w:t>2000"</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77,379 </w:t>
            </w:r>
          </w:p>
        </w:tc>
      </w:tr>
      <w:tr w:rsidR="002773E2" w:rsidRPr="00A05A53" w:rsidTr="001E50B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Fideico</w:t>
            </w:r>
            <w:r w:rsidR="00B058B5">
              <w:rPr>
                <w:rFonts w:ascii="Arial" w:hAnsi="Arial" w:cs="Arial"/>
                <w:sz w:val="17"/>
                <w:szCs w:val="17"/>
              </w:rPr>
              <w:t>miso promotor de turismo en el E</w:t>
            </w:r>
            <w:r w:rsidRPr="002773E2">
              <w:rPr>
                <w:rFonts w:ascii="Arial" w:hAnsi="Arial" w:cs="Arial"/>
                <w:sz w:val="17"/>
                <w:szCs w:val="17"/>
              </w:rPr>
              <w:t>stado de Querétaro "FIPROTUR"</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8,714,337 </w:t>
            </w:r>
          </w:p>
        </w:tc>
      </w:tr>
      <w:tr w:rsidR="002773E2" w:rsidRPr="00A05A53" w:rsidTr="001E50B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 xml:space="preserve">Fideicomiso de apoyo para la implementación de la reforma al sistema de justicia penal en el </w:t>
            </w:r>
            <w:r>
              <w:rPr>
                <w:rFonts w:ascii="Arial" w:hAnsi="Arial" w:cs="Arial"/>
                <w:sz w:val="17"/>
                <w:szCs w:val="17"/>
              </w:rPr>
              <w:t>E</w:t>
            </w:r>
            <w:r w:rsidRPr="002773E2">
              <w:rPr>
                <w:rFonts w:ascii="Arial" w:hAnsi="Arial" w:cs="Arial"/>
                <w:sz w:val="17"/>
                <w:szCs w:val="17"/>
              </w:rPr>
              <w:t>stado de Querétaro</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10,003,185 </w:t>
            </w:r>
          </w:p>
        </w:tc>
      </w:tr>
      <w:tr w:rsidR="002773E2" w:rsidRPr="00A05A53" w:rsidTr="001E50BC">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2773E2" w:rsidRPr="002773E2" w:rsidRDefault="002773E2" w:rsidP="002773E2">
            <w:pPr>
              <w:rPr>
                <w:rFonts w:ascii="Arial" w:hAnsi="Arial" w:cs="Arial"/>
                <w:sz w:val="17"/>
                <w:szCs w:val="17"/>
              </w:rPr>
            </w:pPr>
            <w:r w:rsidRPr="002773E2">
              <w:rPr>
                <w:rFonts w:ascii="Arial" w:hAnsi="Arial" w:cs="Arial"/>
                <w:sz w:val="17"/>
                <w:szCs w:val="17"/>
              </w:rPr>
              <w:t>Fondo de garantía para las empresas de solidaridad d</w:t>
            </w:r>
            <w:r w:rsidR="00B35D4A">
              <w:rPr>
                <w:rFonts w:ascii="Arial" w:hAnsi="Arial" w:cs="Arial"/>
                <w:sz w:val="17"/>
                <w:szCs w:val="17"/>
              </w:rPr>
              <w:t>el E</w:t>
            </w:r>
            <w:r w:rsidRPr="002773E2">
              <w:rPr>
                <w:rFonts w:ascii="Arial" w:hAnsi="Arial" w:cs="Arial"/>
                <w:sz w:val="17"/>
                <w:szCs w:val="17"/>
              </w:rPr>
              <w:t xml:space="preserve">stado de </w:t>
            </w:r>
            <w:r w:rsidR="00B35D4A" w:rsidRPr="002773E2">
              <w:rPr>
                <w:rFonts w:ascii="Arial" w:hAnsi="Arial" w:cs="Arial"/>
                <w:sz w:val="17"/>
                <w:szCs w:val="17"/>
              </w:rPr>
              <w:t>Querétaro</w:t>
            </w:r>
            <w:r w:rsidRPr="002773E2">
              <w:rPr>
                <w:rFonts w:ascii="Arial" w:hAnsi="Arial" w:cs="Arial"/>
                <w:sz w:val="17"/>
                <w:szCs w:val="17"/>
              </w:rPr>
              <w:t xml:space="preserve"> (</w:t>
            </w:r>
            <w:r w:rsidR="00B35D4A" w:rsidRPr="002773E2">
              <w:rPr>
                <w:rFonts w:ascii="Arial" w:hAnsi="Arial" w:cs="Arial"/>
                <w:sz w:val="17"/>
                <w:szCs w:val="17"/>
              </w:rPr>
              <w:t>FOGAESEQ</w:t>
            </w:r>
            <w:r w:rsidRPr="002773E2">
              <w:rPr>
                <w:rFonts w:ascii="Arial" w:hAnsi="Arial" w:cs="Arial"/>
                <w:sz w:val="17"/>
                <w:szCs w:val="17"/>
              </w:rPr>
              <w:t>)</w:t>
            </w:r>
          </w:p>
        </w:tc>
        <w:tc>
          <w:tcPr>
            <w:tcW w:w="2091" w:type="dxa"/>
            <w:tcBorders>
              <w:top w:val="single" w:sz="4" w:space="0" w:color="auto"/>
              <w:left w:val="nil"/>
              <w:bottom w:val="single" w:sz="4" w:space="0" w:color="auto"/>
              <w:right w:val="single" w:sz="4" w:space="0" w:color="auto"/>
            </w:tcBorders>
            <w:shd w:val="clear" w:color="auto" w:fill="auto"/>
          </w:tcPr>
          <w:p w:rsidR="002773E2" w:rsidRPr="002773E2" w:rsidRDefault="002773E2" w:rsidP="002773E2">
            <w:pPr>
              <w:jc w:val="right"/>
              <w:rPr>
                <w:rFonts w:ascii="Arial" w:hAnsi="Arial" w:cs="Arial"/>
                <w:sz w:val="17"/>
                <w:szCs w:val="17"/>
              </w:rPr>
            </w:pPr>
            <w:r w:rsidRPr="002773E2">
              <w:rPr>
                <w:rFonts w:ascii="Arial" w:hAnsi="Arial" w:cs="Arial"/>
                <w:sz w:val="17"/>
                <w:szCs w:val="17"/>
              </w:rPr>
              <w:t xml:space="preserve">729,775 </w:t>
            </w:r>
          </w:p>
        </w:tc>
      </w:tr>
      <w:tr w:rsidR="002773E2" w:rsidRPr="00C90054" w:rsidTr="001E50BC">
        <w:trPr>
          <w:trHeight w:val="240"/>
          <w:jc w:val="center"/>
        </w:trPr>
        <w:tc>
          <w:tcPr>
            <w:tcW w:w="4743" w:type="dxa"/>
            <w:tcBorders>
              <w:top w:val="single" w:sz="4" w:space="0" w:color="auto"/>
              <w:right w:val="single" w:sz="4" w:space="0" w:color="auto"/>
            </w:tcBorders>
            <w:shd w:val="clear" w:color="auto" w:fill="auto"/>
            <w:vAlign w:val="center"/>
          </w:tcPr>
          <w:p w:rsidR="002773E2" w:rsidRPr="00F93CE5" w:rsidRDefault="002773E2" w:rsidP="001E50BC">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2773E2" w:rsidRPr="00C90054" w:rsidRDefault="0019167C" w:rsidP="00603D16">
            <w:pPr>
              <w:jc w:val="right"/>
              <w:rPr>
                <w:rFonts w:ascii="Arial" w:hAnsi="Arial" w:cs="Arial"/>
                <w:b/>
                <w:bCs/>
                <w:color w:val="000000"/>
                <w:sz w:val="17"/>
                <w:szCs w:val="17"/>
              </w:rPr>
            </w:pPr>
            <w:r w:rsidRPr="0019167C">
              <w:rPr>
                <w:rFonts w:ascii="Arial" w:hAnsi="Arial" w:cs="Arial"/>
                <w:b/>
                <w:bCs/>
                <w:color w:val="000000"/>
                <w:sz w:val="17"/>
                <w:szCs w:val="17"/>
              </w:rPr>
              <w:t>595,183,096</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115AA7" w:rsidRDefault="00115AA7">
      <w:pPr>
        <w:rPr>
          <w:rFonts w:ascii="Arial" w:hAnsi="Arial" w:cs="Arial"/>
          <w:b/>
          <w:sz w:val="17"/>
          <w:szCs w:val="17"/>
        </w:rPr>
      </w:pPr>
      <w:r>
        <w:rPr>
          <w:rFonts w:ascii="Arial" w:hAnsi="Arial" w:cs="Arial"/>
          <w:b/>
          <w:sz w:val="17"/>
          <w:szCs w:val="17"/>
        </w:rPr>
        <w:br w:type="page"/>
      </w:r>
    </w:p>
    <w:p w:rsidR="00EE16EB" w:rsidRPr="00A8264F" w:rsidRDefault="00EE16EB" w:rsidP="00A8264F">
      <w:pPr>
        <w:pStyle w:val="Prrafodelista"/>
        <w:numPr>
          <w:ilvl w:val="0"/>
          <w:numId w:val="48"/>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al 31 de diciembre del 2016</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65487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Pr>
                <w:rFonts w:ascii="Arial" w:hAnsi="Arial" w:cs="Arial"/>
                <w:b/>
                <w:bCs/>
                <w:color w:val="000000"/>
                <w:sz w:val="17"/>
                <w:szCs w:val="17"/>
              </w:rPr>
              <w:t>2016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Pr>
                <w:rFonts w:ascii="Arial" w:hAnsi="Arial" w:cs="Arial"/>
                <w:b/>
                <w:bCs/>
                <w:color w:val="000000"/>
                <w:sz w:val="17"/>
                <w:szCs w:val="17"/>
              </w:rPr>
              <w:t>2015</w:t>
            </w:r>
          </w:p>
        </w:tc>
      </w:tr>
      <w:tr w:rsidR="0015343C" w:rsidRPr="00882163" w:rsidTr="0065487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15343C" w:rsidRPr="001E79D9" w:rsidRDefault="0015343C" w:rsidP="00603D16">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vAlign w:val="center"/>
          </w:tcPr>
          <w:p w:rsidR="0015343C" w:rsidRPr="001E79D9" w:rsidRDefault="0015343C" w:rsidP="00603D16">
            <w:pPr>
              <w:jc w:val="right"/>
              <w:rPr>
                <w:rFonts w:ascii="Arial" w:hAnsi="Arial" w:cs="Arial"/>
                <w:b/>
                <w:sz w:val="17"/>
                <w:szCs w:val="17"/>
              </w:rPr>
            </w:pPr>
            <w:r w:rsidRPr="0015343C">
              <w:rPr>
                <w:rFonts w:ascii="Arial" w:hAnsi="Arial" w:cs="Arial"/>
                <w:b/>
                <w:sz w:val="17"/>
                <w:szCs w:val="17"/>
              </w:rPr>
              <w:t>3,426,914,057</w:t>
            </w:r>
          </w:p>
        </w:tc>
        <w:tc>
          <w:tcPr>
            <w:tcW w:w="2180" w:type="dxa"/>
            <w:tcBorders>
              <w:top w:val="single" w:sz="4" w:space="0" w:color="auto"/>
              <w:left w:val="nil"/>
              <w:bottom w:val="single" w:sz="4" w:space="0" w:color="auto"/>
              <w:right w:val="single" w:sz="4" w:space="0" w:color="auto"/>
            </w:tcBorders>
            <w:shd w:val="clear" w:color="auto" w:fill="auto"/>
            <w:vAlign w:val="center"/>
          </w:tcPr>
          <w:p w:rsidR="0015343C" w:rsidRPr="001E79D9" w:rsidRDefault="0015343C" w:rsidP="00603D16">
            <w:pPr>
              <w:jc w:val="right"/>
              <w:rPr>
                <w:rFonts w:ascii="Arial" w:hAnsi="Arial" w:cs="Arial"/>
                <w:b/>
                <w:sz w:val="17"/>
                <w:szCs w:val="17"/>
              </w:rPr>
            </w:pPr>
            <w:r w:rsidRPr="0015343C">
              <w:rPr>
                <w:rFonts w:ascii="Arial" w:hAnsi="Arial" w:cs="Arial"/>
                <w:b/>
                <w:sz w:val="17"/>
                <w:szCs w:val="17"/>
              </w:rPr>
              <w:t>3,851,235,563</w:t>
            </w:r>
          </w:p>
        </w:tc>
      </w:tr>
      <w:tr w:rsidR="0015343C" w:rsidTr="00654877">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15343C" w:rsidRPr="0015343C" w:rsidRDefault="0015343C" w:rsidP="0015343C">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15343C" w:rsidRPr="0015343C" w:rsidRDefault="0015343C" w:rsidP="0015343C">
            <w:pPr>
              <w:jc w:val="right"/>
              <w:rPr>
                <w:rFonts w:ascii="Arial" w:hAnsi="Arial" w:cs="Arial"/>
                <w:sz w:val="17"/>
                <w:szCs w:val="17"/>
              </w:rPr>
            </w:pPr>
            <w:r w:rsidRPr="0015343C">
              <w:rPr>
                <w:rFonts w:ascii="Arial" w:hAnsi="Arial" w:cs="Arial"/>
                <w:sz w:val="17"/>
                <w:szCs w:val="17"/>
              </w:rPr>
              <w:t xml:space="preserve">2,194,987,462 </w:t>
            </w:r>
          </w:p>
        </w:tc>
        <w:tc>
          <w:tcPr>
            <w:tcW w:w="2180" w:type="dxa"/>
            <w:tcBorders>
              <w:top w:val="nil"/>
              <w:left w:val="nil"/>
              <w:bottom w:val="single" w:sz="4" w:space="0" w:color="auto"/>
              <w:right w:val="single" w:sz="4" w:space="0" w:color="auto"/>
            </w:tcBorders>
            <w:shd w:val="clear" w:color="auto" w:fill="auto"/>
          </w:tcPr>
          <w:p w:rsidR="0015343C" w:rsidRPr="0015343C" w:rsidRDefault="0015343C" w:rsidP="0015343C">
            <w:pPr>
              <w:jc w:val="right"/>
              <w:rPr>
                <w:rFonts w:ascii="Arial" w:hAnsi="Arial" w:cs="Arial"/>
                <w:sz w:val="17"/>
                <w:szCs w:val="17"/>
              </w:rPr>
            </w:pPr>
            <w:r w:rsidRPr="0015343C">
              <w:rPr>
                <w:rFonts w:ascii="Arial" w:hAnsi="Arial" w:cs="Arial"/>
                <w:sz w:val="17"/>
                <w:szCs w:val="17"/>
              </w:rPr>
              <w:t xml:space="preserve">2,605,151,321 </w:t>
            </w:r>
          </w:p>
        </w:tc>
      </w:tr>
      <w:tr w:rsidR="0015343C"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343C" w:rsidRPr="0015343C" w:rsidRDefault="0015343C" w:rsidP="0015343C">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15343C" w:rsidRPr="0015343C" w:rsidRDefault="0015343C" w:rsidP="0015343C">
            <w:pPr>
              <w:jc w:val="right"/>
              <w:rPr>
                <w:rFonts w:ascii="Arial" w:hAnsi="Arial" w:cs="Arial"/>
                <w:sz w:val="17"/>
                <w:szCs w:val="17"/>
              </w:rPr>
            </w:pPr>
            <w:r w:rsidRPr="0015343C">
              <w:rPr>
                <w:rFonts w:ascii="Arial" w:hAnsi="Arial" w:cs="Arial"/>
                <w:sz w:val="17"/>
                <w:szCs w:val="17"/>
              </w:rPr>
              <w:t xml:space="preserve">241,725,694 </w:t>
            </w:r>
          </w:p>
        </w:tc>
        <w:tc>
          <w:tcPr>
            <w:tcW w:w="2180" w:type="dxa"/>
            <w:tcBorders>
              <w:top w:val="nil"/>
              <w:left w:val="nil"/>
              <w:bottom w:val="single" w:sz="4" w:space="0" w:color="auto"/>
              <w:right w:val="single" w:sz="4" w:space="0" w:color="auto"/>
            </w:tcBorders>
            <w:shd w:val="clear" w:color="auto" w:fill="auto"/>
          </w:tcPr>
          <w:p w:rsidR="0015343C" w:rsidRPr="0015343C" w:rsidRDefault="0015343C" w:rsidP="0015343C">
            <w:pPr>
              <w:jc w:val="right"/>
              <w:rPr>
                <w:rFonts w:ascii="Arial" w:hAnsi="Arial" w:cs="Arial"/>
                <w:sz w:val="17"/>
                <w:szCs w:val="17"/>
              </w:rPr>
            </w:pPr>
            <w:r w:rsidRPr="0015343C">
              <w:rPr>
                <w:rFonts w:ascii="Arial" w:hAnsi="Arial" w:cs="Arial"/>
                <w:sz w:val="17"/>
                <w:szCs w:val="17"/>
              </w:rPr>
              <w:t xml:space="preserve">289,858,482 </w:t>
            </w:r>
          </w:p>
        </w:tc>
      </w:tr>
      <w:tr w:rsidR="0015343C"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15343C" w:rsidRPr="0015343C" w:rsidRDefault="0015343C" w:rsidP="0015343C">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15343C" w:rsidRPr="0015343C" w:rsidRDefault="0015343C" w:rsidP="0015343C">
            <w:pPr>
              <w:jc w:val="right"/>
              <w:rPr>
                <w:rFonts w:ascii="Arial" w:hAnsi="Arial" w:cs="Arial"/>
                <w:sz w:val="17"/>
                <w:szCs w:val="17"/>
              </w:rPr>
            </w:pPr>
            <w:r w:rsidRPr="0015343C">
              <w:rPr>
                <w:rFonts w:ascii="Arial" w:hAnsi="Arial" w:cs="Arial"/>
                <w:sz w:val="17"/>
                <w:szCs w:val="17"/>
              </w:rPr>
              <w:t xml:space="preserve">990,200,900 </w:t>
            </w:r>
          </w:p>
        </w:tc>
        <w:tc>
          <w:tcPr>
            <w:tcW w:w="2180" w:type="dxa"/>
            <w:tcBorders>
              <w:top w:val="nil"/>
              <w:left w:val="nil"/>
              <w:bottom w:val="single" w:sz="4" w:space="0" w:color="auto"/>
              <w:right w:val="single" w:sz="4" w:space="0" w:color="auto"/>
            </w:tcBorders>
            <w:shd w:val="clear" w:color="auto" w:fill="auto"/>
          </w:tcPr>
          <w:p w:rsidR="0015343C" w:rsidRPr="0015343C" w:rsidRDefault="0015343C" w:rsidP="0015343C">
            <w:pPr>
              <w:jc w:val="right"/>
              <w:rPr>
                <w:rFonts w:ascii="Arial" w:hAnsi="Arial" w:cs="Arial"/>
                <w:sz w:val="17"/>
                <w:szCs w:val="17"/>
              </w:rPr>
            </w:pPr>
            <w:r w:rsidRPr="0015343C">
              <w:rPr>
                <w:rFonts w:ascii="Arial" w:hAnsi="Arial" w:cs="Arial"/>
                <w:sz w:val="17"/>
                <w:szCs w:val="17"/>
              </w:rPr>
              <w:t xml:space="preserve">956,225,761 </w:t>
            </w:r>
          </w:p>
        </w:tc>
      </w:tr>
      <w:tr w:rsidR="0069430E"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9430E" w:rsidRPr="0069430E" w:rsidRDefault="0069430E" w:rsidP="0069430E">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10,356,724,900 </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7,907,651,322 </w:t>
            </w:r>
          </w:p>
        </w:tc>
      </w:tr>
      <w:tr w:rsidR="0069430E"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9430E" w:rsidRPr="0069430E" w:rsidRDefault="0069430E" w:rsidP="0069430E">
            <w:pPr>
              <w:rPr>
                <w:rFonts w:ascii="Arial" w:hAnsi="Arial" w:cs="Arial"/>
                <w:b/>
                <w:sz w:val="17"/>
                <w:szCs w:val="17"/>
              </w:rPr>
            </w:pPr>
            <w:r w:rsidRPr="0069430E">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16,013,201,456 </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15,588,096,059 </w:t>
            </w:r>
          </w:p>
        </w:tc>
      </w:tr>
      <w:tr w:rsidR="0069430E" w:rsidRPr="001E79D9"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9430E" w:rsidRPr="0069430E" w:rsidRDefault="0069430E" w:rsidP="0069430E">
            <w:pPr>
              <w:rPr>
                <w:rFonts w:ascii="Arial" w:hAnsi="Arial" w:cs="Arial"/>
                <w:b/>
                <w:sz w:val="17"/>
                <w:szCs w:val="17"/>
              </w:rPr>
            </w:pPr>
            <w:r w:rsidRPr="0069430E">
              <w:rPr>
                <w:rFonts w:ascii="Arial" w:hAnsi="Arial" w:cs="Arial"/>
                <w:b/>
                <w:sz w:val="17"/>
                <w:szCs w:val="17"/>
              </w:rPr>
              <w:t>Intereses, Comisiones y Otros Gastos de la Deuda Pública</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53,053,677 </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43,984,400 </w:t>
            </w:r>
          </w:p>
        </w:tc>
      </w:tr>
      <w:tr w:rsidR="0069430E"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9430E" w:rsidRPr="0069430E" w:rsidRDefault="0069430E" w:rsidP="0069430E">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740,033,159 </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250,830,614 </w:t>
            </w:r>
          </w:p>
        </w:tc>
      </w:tr>
      <w:tr w:rsidR="0069430E"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9430E" w:rsidRPr="0069430E" w:rsidRDefault="0069430E" w:rsidP="0069430E">
            <w:pPr>
              <w:rPr>
                <w:rFonts w:ascii="Arial" w:hAnsi="Arial" w:cs="Arial"/>
                <w:b/>
                <w:sz w:val="17"/>
                <w:szCs w:val="17"/>
              </w:rPr>
            </w:pPr>
            <w:r w:rsidRPr="0069430E">
              <w:rPr>
                <w:rFonts w:ascii="Arial" w:hAnsi="Arial" w:cs="Arial"/>
                <w:b/>
                <w:sz w:val="17"/>
                <w:szCs w:val="17"/>
              </w:rPr>
              <w:t>Inversión Pública</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380,682,980 </w:t>
            </w:r>
          </w:p>
        </w:tc>
        <w:tc>
          <w:tcPr>
            <w:tcW w:w="2180" w:type="dxa"/>
            <w:tcBorders>
              <w:top w:val="nil"/>
              <w:left w:val="nil"/>
              <w:bottom w:val="single" w:sz="4" w:space="0" w:color="auto"/>
              <w:right w:val="single" w:sz="4" w:space="0" w:color="auto"/>
            </w:tcBorders>
            <w:shd w:val="clear" w:color="auto" w:fill="auto"/>
          </w:tcPr>
          <w:p w:rsidR="0069430E" w:rsidRPr="0069430E" w:rsidRDefault="0069430E" w:rsidP="0069430E">
            <w:pPr>
              <w:jc w:val="right"/>
              <w:rPr>
                <w:rFonts w:ascii="Arial" w:hAnsi="Arial" w:cs="Arial"/>
                <w:b/>
                <w:sz w:val="17"/>
                <w:szCs w:val="17"/>
              </w:rPr>
            </w:pPr>
            <w:r w:rsidRPr="0069430E">
              <w:rPr>
                <w:rFonts w:ascii="Arial" w:hAnsi="Arial" w:cs="Arial"/>
                <w:b/>
                <w:sz w:val="17"/>
                <w:szCs w:val="17"/>
              </w:rPr>
              <w:t xml:space="preserve">0 </w:t>
            </w:r>
          </w:p>
        </w:tc>
      </w:tr>
      <w:tr w:rsidR="0015343C" w:rsidRPr="002D70DA" w:rsidTr="00603D16">
        <w:trPr>
          <w:trHeight w:val="240"/>
          <w:jc w:val="center"/>
        </w:trPr>
        <w:tc>
          <w:tcPr>
            <w:tcW w:w="4900" w:type="dxa"/>
            <w:tcBorders>
              <w:top w:val="nil"/>
              <w:left w:val="nil"/>
              <w:bottom w:val="nil"/>
              <w:right w:val="nil"/>
            </w:tcBorders>
            <w:shd w:val="clear" w:color="000000" w:fill="FFFFFF"/>
            <w:vAlign w:val="center"/>
            <w:hideMark/>
          </w:tcPr>
          <w:p w:rsidR="0015343C" w:rsidRPr="002D70DA" w:rsidRDefault="006A1309" w:rsidP="00603D16">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5343C" w:rsidRPr="002D70DA" w:rsidRDefault="0069430E" w:rsidP="00603D16">
            <w:pPr>
              <w:jc w:val="right"/>
              <w:rPr>
                <w:rFonts w:ascii="Arial" w:hAnsi="Arial" w:cs="Arial"/>
                <w:b/>
                <w:bCs/>
                <w:color w:val="000000"/>
                <w:sz w:val="17"/>
                <w:szCs w:val="17"/>
              </w:rPr>
            </w:pPr>
            <w:r w:rsidRPr="0069430E">
              <w:rPr>
                <w:rFonts w:ascii="Arial" w:hAnsi="Arial" w:cs="Arial"/>
                <w:b/>
                <w:bCs/>
                <w:color w:val="000000"/>
                <w:sz w:val="17"/>
                <w:szCs w:val="17"/>
                <w14:numForm w14:val="lining"/>
              </w:rPr>
              <w:t>30,970,610,229</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15343C" w:rsidRPr="004A3D23" w:rsidRDefault="0069430E" w:rsidP="00603D16">
            <w:pPr>
              <w:jc w:val="right"/>
              <w:rPr>
                <w:rFonts w:ascii="Arial" w:hAnsi="Arial" w:cs="Arial"/>
                <w:b/>
                <w:color w:val="000000"/>
                <w:sz w:val="17"/>
                <w:szCs w:val="17"/>
              </w:rPr>
            </w:pPr>
            <w:r w:rsidRPr="0069430E">
              <w:rPr>
                <w:rFonts w:ascii="Arial" w:hAnsi="Arial" w:cs="Arial"/>
                <w:b/>
                <w:color w:val="000000"/>
                <w:sz w:val="17"/>
                <w:szCs w:val="17"/>
              </w:rPr>
              <w:t>27,641,797,959</w:t>
            </w:r>
          </w:p>
        </w:tc>
      </w:tr>
    </w:tbl>
    <w:p w:rsidR="0015343C" w:rsidRDefault="0015343C" w:rsidP="00EE16EB">
      <w:pPr>
        <w:spacing w:before="80" w:line="250" w:lineRule="exact"/>
        <w:ind w:left="709"/>
        <w:jc w:val="both"/>
        <w:rPr>
          <w:rFonts w:ascii="Arial" w:eastAsia="Calibri" w:hAnsi="Arial" w:cs="Arial"/>
          <w:spacing w:val="-1"/>
          <w:sz w:val="17"/>
          <w:szCs w:val="17"/>
        </w:rPr>
      </w:pPr>
    </w:p>
    <w:p w:rsidR="00CA7B8E" w:rsidRDefault="0016196C" w:rsidP="00E76A8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incremento del 12% que se </w:t>
      </w:r>
      <w:r w:rsidR="00D40192">
        <w:rPr>
          <w:rFonts w:ascii="Arial" w:eastAsia="Calibri" w:hAnsi="Arial" w:cs="Arial"/>
          <w:spacing w:val="-1"/>
          <w:sz w:val="17"/>
          <w:szCs w:val="17"/>
        </w:rPr>
        <w:t xml:space="preserve">refleja en el total del gasto, </w:t>
      </w:r>
      <w:r>
        <w:rPr>
          <w:rFonts w:ascii="Arial" w:eastAsia="Calibri" w:hAnsi="Arial" w:cs="Arial"/>
          <w:spacing w:val="-1"/>
          <w:sz w:val="17"/>
          <w:szCs w:val="17"/>
        </w:rPr>
        <w:t>obedece principalmente al aumento en el rubro de</w:t>
      </w:r>
      <w:r w:rsidRPr="0016196C">
        <w:t xml:space="preserve"> </w:t>
      </w:r>
      <w:r w:rsidRPr="0016196C">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y </w:t>
      </w:r>
      <w:r w:rsidRPr="0016196C">
        <w:rPr>
          <w:rFonts w:ascii="Arial" w:eastAsia="Calibri" w:hAnsi="Arial" w:cs="Arial"/>
          <w:spacing w:val="-1"/>
          <w:sz w:val="17"/>
          <w:szCs w:val="17"/>
        </w:rPr>
        <w:t>Participaciones y Aportaciones</w:t>
      </w:r>
      <w:r>
        <w:rPr>
          <w:rFonts w:ascii="Arial" w:eastAsia="Calibri" w:hAnsi="Arial" w:cs="Arial"/>
          <w:spacing w:val="-1"/>
          <w:sz w:val="17"/>
          <w:szCs w:val="17"/>
        </w:rPr>
        <w:t xml:space="preserve">, esto es, se radicaron más recursos a los entes del Estado. Sin embargo, existe una reducción importante en el rubro de </w:t>
      </w:r>
      <w:r w:rsidRPr="0016196C">
        <w:rPr>
          <w:rFonts w:ascii="Arial" w:eastAsia="Calibri" w:hAnsi="Arial" w:cs="Arial"/>
          <w:spacing w:val="-1"/>
          <w:sz w:val="17"/>
          <w:szCs w:val="17"/>
        </w:rPr>
        <w:t>Servicios Personales</w:t>
      </w:r>
      <w:r w:rsidR="00B16BBE">
        <w:rPr>
          <w:rFonts w:ascii="Arial" w:eastAsia="Calibri" w:hAnsi="Arial" w:cs="Arial"/>
          <w:spacing w:val="-1"/>
          <w:sz w:val="17"/>
          <w:szCs w:val="17"/>
        </w:rPr>
        <w:t xml:space="preserve">; y </w:t>
      </w:r>
      <w:r w:rsidR="00B16BBE" w:rsidRPr="00B16BBE">
        <w:rPr>
          <w:rFonts w:ascii="Arial" w:eastAsia="Calibri" w:hAnsi="Arial" w:cs="Arial"/>
          <w:spacing w:val="-1"/>
          <w:sz w:val="17"/>
          <w:szCs w:val="17"/>
        </w:rPr>
        <w:t>Materiales y Suministros</w:t>
      </w:r>
      <w:r w:rsidR="00B16BBE">
        <w:rPr>
          <w:rFonts w:ascii="Arial" w:eastAsia="Calibri" w:hAnsi="Arial" w:cs="Arial"/>
          <w:spacing w:val="-1"/>
          <w:sz w:val="17"/>
          <w:szCs w:val="17"/>
        </w:rPr>
        <w:t>. En concreto, una reducción en las partidas del consumo de combustible; materiales de administración; y artículos oficiales.</w:t>
      </w:r>
    </w:p>
    <w:p w:rsidR="0015343C" w:rsidRDefault="0015343C" w:rsidP="00E76A87">
      <w:pPr>
        <w:spacing w:before="80" w:line="250" w:lineRule="exact"/>
        <w:ind w:left="709"/>
        <w:jc w:val="both"/>
        <w:rPr>
          <w:rFonts w:ascii="Arial" w:eastAsia="Calibri" w:hAnsi="Arial" w:cs="Arial"/>
          <w:spacing w:val="-1"/>
          <w:sz w:val="17"/>
          <w:szCs w:val="17"/>
        </w:rPr>
      </w:pP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364153">
            <w:pPr>
              <w:jc w:val="right"/>
              <w:rPr>
                <w:rFonts w:ascii="Arial" w:hAnsi="Arial" w:cs="Arial"/>
                <w:b/>
                <w:bCs/>
                <w:color w:val="000000"/>
                <w:sz w:val="17"/>
                <w:szCs w:val="17"/>
              </w:rPr>
            </w:pPr>
            <w:r w:rsidRPr="00F165DD">
              <w:rPr>
                <w:rFonts w:ascii="Arial" w:hAnsi="Arial" w:cs="Arial"/>
                <w:b/>
                <w:bCs/>
                <w:color w:val="000000"/>
                <w:sz w:val="17"/>
                <w:szCs w:val="17"/>
              </w:rPr>
              <w:t>30,970,610,229</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470B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0C6BE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9075B3" w:rsidRDefault="00364153">
            <w:pPr>
              <w:rPr>
                <w:rFonts w:ascii="Arial" w:hAnsi="Arial" w:cs="Arial"/>
                <w:color w:val="000000"/>
                <w:sz w:val="17"/>
                <w:szCs w:val="17"/>
              </w:rPr>
            </w:pPr>
            <w:r w:rsidRPr="00364153">
              <w:rPr>
                <w:rFonts w:ascii="Arial" w:hAnsi="Arial" w:cs="Arial"/>
                <w:color w:val="000000"/>
                <w:sz w:val="17"/>
                <w:szCs w:val="17"/>
              </w:rPr>
              <w:t>Transferencias a Entidades Paraestatales</w:t>
            </w:r>
          </w:p>
        </w:tc>
        <w:tc>
          <w:tcPr>
            <w:tcW w:w="2180" w:type="dxa"/>
            <w:tcBorders>
              <w:top w:val="nil"/>
              <w:left w:val="nil"/>
              <w:bottom w:val="single" w:sz="4" w:space="0" w:color="auto"/>
              <w:right w:val="single" w:sz="4" w:space="0" w:color="auto"/>
            </w:tcBorders>
            <w:shd w:val="clear" w:color="auto" w:fill="auto"/>
            <w:vAlign w:val="center"/>
          </w:tcPr>
          <w:p w:rsidR="00BC0DE0" w:rsidRPr="009075B3" w:rsidRDefault="00364153">
            <w:pPr>
              <w:jc w:val="right"/>
              <w:rPr>
                <w:rFonts w:ascii="Arial" w:hAnsi="Arial" w:cs="Arial"/>
                <w:bCs/>
                <w:color w:val="000000"/>
                <w:sz w:val="17"/>
                <w:szCs w:val="17"/>
              </w:rPr>
            </w:pPr>
            <w:r w:rsidRPr="00364153">
              <w:rPr>
                <w:rFonts w:ascii="Arial" w:hAnsi="Arial" w:cs="Arial"/>
                <w:bCs/>
                <w:color w:val="000000"/>
                <w:sz w:val="17"/>
                <w:szCs w:val="17"/>
              </w:rPr>
              <w:t>5,173,016,277.05</w:t>
            </w:r>
          </w:p>
        </w:tc>
        <w:tc>
          <w:tcPr>
            <w:tcW w:w="2180" w:type="dxa"/>
            <w:tcBorders>
              <w:top w:val="nil"/>
              <w:left w:val="nil"/>
              <w:bottom w:val="single" w:sz="4" w:space="0" w:color="auto"/>
              <w:right w:val="single" w:sz="4" w:space="0" w:color="auto"/>
            </w:tcBorders>
            <w:shd w:val="clear" w:color="auto" w:fill="auto"/>
            <w:vAlign w:val="center"/>
          </w:tcPr>
          <w:p w:rsidR="00BC0DE0" w:rsidRPr="009075B3" w:rsidRDefault="009075B3" w:rsidP="0004595A">
            <w:pPr>
              <w:jc w:val="right"/>
              <w:rPr>
                <w:rFonts w:ascii="Arial" w:hAnsi="Arial" w:cs="Arial"/>
                <w:bCs/>
                <w:color w:val="000000"/>
                <w:sz w:val="17"/>
                <w:szCs w:val="17"/>
              </w:rPr>
            </w:pPr>
            <w:r>
              <w:rPr>
                <w:rFonts w:ascii="Arial" w:hAnsi="Arial" w:cs="Arial"/>
                <w:bCs/>
                <w:color w:val="000000"/>
                <w:sz w:val="17"/>
                <w:szCs w:val="17"/>
              </w:rPr>
              <w:t>1</w:t>
            </w:r>
            <w:r w:rsidR="0004595A">
              <w:rPr>
                <w:rFonts w:ascii="Arial" w:hAnsi="Arial" w:cs="Arial"/>
                <w:bCs/>
                <w:color w:val="000000"/>
                <w:sz w:val="17"/>
                <w:szCs w:val="17"/>
              </w:rPr>
              <w:t>6</w:t>
            </w:r>
            <w:r>
              <w:rPr>
                <w:rFonts w:ascii="Arial" w:hAnsi="Arial" w:cs="Arial"/>
                <w:bCs/>
                <w:color w:val="000000"/>
                <w:sz w:val="17"/>
                <w:szCs w:val="17"/>
              </w:rPr>
              <w:t>.</w:t>
            </w:r>
            <w:r w:rsidR="00364153">
              <w:rPr>
                <w:rFonts w:ascii="Arial" w:hAnsi="Arial" w:cs="Arial"/>
                <w:bCs/>
                <w:color w:val="000000"/>
                <w:sz w:val="17"/>
                <w:szCs w:val="17"/>
              </w:rPr>
              <w:t>70</w:t>
            </w:r>
            <w:r>
              <w:rPr>
                <w:rFonts w:ascii="Arial" w:hAnsi="Arial" w:cs="Arial"/>
                <w:bCs/>
                <w:color w:val="000000"/>
                <w:sz w:val="17"/>
                <w:szCs w:val="17"/>
              </w:rPr>
              <w:t>%</w:t>
            </w:r>
          </w:p>
        </w:tc>
      </w:tr>
      <w:tr w:rsidR="0004595A" w:rsidRPr="002D70DA" w:rsidTr="000C6BE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4595A" w:rsidRPr="009075B3" w:rsidRDefault="00364153">
            <w:pPr>
              <w:rPr>
                <w:rFonts w:ascii="Arial" w:hAnsi="Arial" w:cs="Arial"/>
                <w:color w:val="000000"/>
                <w:sz w:val="17"/>
                <w:szCs w:val="17"/>
              </w:rPr>
            </w:pPr>
            <w:r w:rsidRPr="00364153">
              <w:rPr>
                <w:rFonts w:ascii="Arial" w:hAnsi="Arial" w:cs="Arial"/>
                <w:color w:val="000000"/>
                <w:sz w:val="17"/>
                <w:szCs w:val="17"/>
              </w:rPr>
              <w:t>Aportaciones de la Federación a Entidades Federativas y Municipios</w:t>
            </w:r>
          </w:p>
        </w:tc>
        <w:tc>
          <w:tcPr>
            <w:tcW w:w="2180" w:type="dxa"/>
            <w:tcBorders>
              <w:top w:val="single" w:sz="4" w:space="0" w:color="auto"/>
              <w:left w:val="nil"/>
              <w:bottom w:val="single" w:sz="4" w:space="0" w:color="auto"/>
              <w:right w:val="single" w:sz="4" w:space="0" w:color="auto"/>
            </w:tcBorders>
            <w:shd w:val="clear" w:color="auto" w:fill="auto"/>
            <w:vAlign w:val="center"/>
          </w:tcPr>
          <w:p w:rsidR="0004595A" w:rsidRPr="0004595A" w:rsidRDefault="000C6BEB">
            <w:pPr>
              <w:jc w:val="right"/>
              <w:rPr>
                <w:rFonts w:ascii="Arial" w:hAnsi="Arial" w:cs="Arial"/>
                <w:bCs/>
                <w:color w:val="000000"/>
                <w:sz w:val="17"/>
                <w:szCs w:val="17"/>
              </w:rPr>
            </w:pPr>
            <w:r w:rsidRPr="000C6BEB">
              <w:rPr>
                <w:rFonts w:ascii="Arial" w:hAnsi="Arial" w:cs="Arial"/>
                <w:bCs/>
                <w:color w:val="000000"/>
                <w:sz w:val="17"/>
                <w:szCs w:val="17"/>
              </w:rPr>
              <w:t>10,465,927,76</w:t>
            </w:r>
            <w:r w:rsidR="00403833">
              <w:rPr>
                <w:rFonts w:ascii="Arial" w:hAnsi="Arial" w:cs="Arial"/>
                <w:bCs/>
                <w:color w:val="000000"/>
                <w:sz w:val="17"/>
                <w:szCs w:val="17"/>
              </w:rPr>
              <w:t>9</w:t>
            </w:r>
          </w:p>
        </w:tc>
        <w:tc>
          <w:tcPr>
            <w:tcW w:w="2180" w:type="dxa"/>
            <w:tcBorders>
              <w:top w:val="single" w:sz="4" w:space="0" w:color="auto"/>
              <w:left w:val="nil"/>
              <w:bottom w:val="single" w:sz="4" w:space="0" w:color="auto"/>
              <w:right w:val="single" w:sz="4" w:space="0" w:color="auto"/>
            </w:tcBorders>
            <w:shd w:val="clear" w:color="auto" w:fill="auto"/>
            <w:vAlign w:val="center"/>
          </w:tcPr>
          <w:p w:rsidR="0004595A" w:rsidRDefault="000C6BEB">
            <w:pPr>
              <w:jc w:val="right"/>
              <w:rPr>
                <w:rFonts w:ascii="Arial" w:hAnsi="Arial" w:cs="Arial"/>
                <w:bCs/>
                <w:color w:val="000000"/>
                <w:sz w:val="17"/>
                <w:szCs w:val="17"/>
              </w:rPr>
            </w:pPr>
            <w:r>
              <w:rPr>
                <w:rFonts w:ascii="Arial" w:hAnsi="Arial" w:cs="Arial"/>
                <w:bCs/>
                <w:color w:val="000000"/>
                <w:sz w:val="17"/>
                <w:szCs w:val="17"/>
              </w:rPr>
              <w:t>33</w:t>
            </w:r>
            <w:r w:rsidR="0004595A">
              <w:rPr>
                <w:rFonts w:ascii="Arial" w:hAnsi="Arial" w:cs="Arial"/>
                <w:bCs/>
                <w:color w:val="000000"/>
                <w:sz w:val="17"/>
                <w:szCs w:val="17"/>
              </w:rPr>
              <w:t>.</w:t>
            </w:r>
            <w:r>
              <w:rPr>
                <w:rFonts w:ascii="Arial" w:hAnsi="Arial" w:cs="Arial"/>
                <w:bCs/>
                <w:color w:val="000000"/>
                <w:sz w:val="17"/>
                <w:szCs w:val="17"/>
              </w:rPr>
              <w:t>79</w:t>
            </w:r>
            <w:r w:rsidR="0004595A">
              <w:rPr>
                <w:rFonts w:ascii="Arial" w:hAnsi="Arial" w:cs="Arial"/>
                <w:bCs/>
                <w:color w:val="000000"/>
                <w:sz w:val="17"/>
                <w:szCs w:val="17"/>
              </w:rPr>
              <w:t>%</w:t>
            </w:r>
          </w:p>
        </w:tc>
      </w:tr>
    </w:tbl>
    <w:p w:rsidR="00534381" w:rsidRDefault="00534381" w:rsidP="00534381">
      <w:pPr>
        <w:spacing w:before="80" w:line="250" w:lineRule="exact"/>
        <w:jc w:val="both"/>
        <w:rPr>
          <w:rFonts w:ascii="Arial" w:eastAsia="Calibri" w:hAnsi="Arial" w:cs="Arial"/>
          <w:b/>
          <w:spacing w:val="-1"/>
          <w:sz w:val="17"/>
          <w:szCs w:val="17"/>
        </w:rPr>
      </w:pPr>
    </w:p>
    <w:p w:rsidR="00CF1BFA" w:rsidRDefault="00CF1BFA">
      <w:pPr>
        <w:rPr>
          <w:rFonts w:ascii="Arial" w:eastAsia="Calibri" w:hAnsi="Arial" w:cs="Arial"/>
          <w:b/>
          <w:spacing w:val="-1"/>
          <w:sz w:val="17"/>
          <w:szCs w:val="17"/>
        </w:rPr>
      </w:pPr>
      <w:r>
        <w:rPr>
          <w:rFonts w:ascii="Arial" w:eastAsia="Calibri" w:hAnsi="Arial" w:cs="Arial"/>
          <w:b/>
          <w:spacing w:val="-1"/>
          <w:sz w:val="17"/>
          <w:szCs w:val="17"/>
        </w:rPr>
        <w:br w:type="page"/>
      </w:r>
    </w:p>
    <w:p w:rsidR="00534381" w:rsidRPr="00E76A87" w:rsidRDefault="00534381" w:rsidP="00E76A87">
      <w:pPr>
        <w:pStyle w:val="Prrafodelista"/>
        <w:numPr>
          <w:ilvl w:val="0"/>
          <w:numId w:val="48"/>
        </w:numPr>
        <w:spacing w:before="80" w:line="250" w:lineRule="exact"/>
        <w:jc w:val="both"/>
        <w:rPr>
          <w:rFonts w:ascii="Arial" w:eastAsia="Calibri" w:hAnsi="Arial" w:cs="Arial"/>
          <w:b/>
          <w:spacing w:val="-1"/>
          <w:sz w:val="17"/>
          <w:szCs w:val="17"/>
        </w:rPr>
      </w:pPr>
      <w:r w:rsidRPr="00E76A87">
        <w:rPr>
          <w:rFonts w:ascii="Arial" w:eastAsia="Calibri" w:hAnsi="Arial" w:cs="Arial"/>
          <w:b/>
          <w:spacing w:val="-1"/>
          <w:sz w:val="17"/>
          <w:szCs w:val="17"/>
        </w:rPr>
        <w:lastRenderedPageBreak/>
        <w:t>Otros Gastos y Pérdidas Extraordinarias</w:t>
      </w:r>
    </w:p>
    <w:p w:rsidR="00534381" w:rsidRDefault="00534381" w:rsidP="00534381">
      <w:pPr>
        <w:spacing w:before="80" w:line="250" w:lineRule="exact"/>
        <w:ind w:left="709"/>
        <w:jc w:val="both"/>
        <w:rPr>
          <w:rFonts w:ascii="Arial" w:eastAsia="Calibri" w:hAnsi="Arial" w:cs="Arial"/>
          <w:spacing w:val="-1"/>
          <w:sz w:val="17"/>
          <w:szCs w:val="17"/>
        </w:rPr>
      </w:pPr>
    </w:p>
    <w:p w:rsidR="00150A77" w:rsidRDefault="00534381" w:rsidP="00534381">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el monto </w:t>
      </w:r>
      <w:r>
        <w:rPr>
          <w:rFonts w:ascii="Arial" w:eastAsia="Calibri" w:hAnsi="Arial" w:cs="Arial"/>
          <w:spacing w:val="-1"/>
          <w:sz w:val="17"/>
          <w:szCs w:val="17"/>
        </w:rPr>
        <w:t xml:space="preserve">de la cuenta </w:t>
      </w:r>
      <w:r w:rsidR="00150A77" w:rsidRPr="00150A77">
        <w:rPr>
          <w:rFonts w:ascii="Arial" w:eastAsia="Calibri" w:hAnsi="Arial" w:cs="Arial"/>
          <w:spacing w:val="-1"/>
          <w:sz w:val="17"/>
          <w:szCs w:val="17"/>
        </w:rPr>
        <w:t>Otros Gastos y Pérdidas Extraordinarias</w:t>
      </w:r>
      <w:r w:rsidRPr="00577A8F">
        <w:rPr>
          <w:rFonts w:ascii="Arial" w:eastAsia="Calibri" w:hAnsi="Arial" w:cs="Arial"/>
          <w:spacing w:val="-1"/>
          <w:sz w:val="17"/>
          <w:szCs w:val="17"/>
        </w:rPr>
        <w:t xml:space="preserve"> </w:t>
      </w:r>
      <w:r>
        <w:rPr>
          <w:rFonts w:ascii="Arial" w:eastAsia="Calibri" w:hAnsi="Arial" w:cs="Arial"/>
          <w:spacing w:val="-1"/>
          <w:sz w:val="17"/>
          <w:szCs w:val="17"/>
        </w:rPr>
        <w:t xml:space="preserve">por </w:t>
      </w:r>
      <w:r w:rsidRPr="00534381">
        <w:rPr>
          <w:rFonts w:ascii="Arial" w:eastAsia="Calibri" w:hAnsi="Arial" w:cs="Arial"/>
          <w:spacing w:val="-1"/>
          <w:sz w:val="17"/>
          <w:szCs w:val="17"/>
        </w:rPr>
        <w:t>740,033,159</w:t>
      </w:r>
      <w:r>
        <w:rPr>
          <w:rFonts w:ascii="Arial" w:eastAsia="Calibri" w:hAnsi="Arial" w:cs="Arial"/>
          <w:spacing w:val="-1"/>
          <w:sz w:val="17"/>
          <w:szCs w:val="17"/>
        </w:rPr>
        <w:t xml:space="preserve"> al 31 de diciembre del 2016</w:t>
      </w:r>
      <w:r w:rsidR="00150A77">
        <w:rPr>
          <w:rFonts w:ascii="Arial" w:eastAsia="Calibri" w:hAnsi="Arial" w:cs="Arial"/>
          <w:spacing w:val="-1"/>
          <w:sz w:val="17"/>
          <w:szCs w:val="17"/>
        </w:rPr>
        <w:t>:</w:t>
      </w:r>
    </w:p>
    <w:p w:rsidR="00150A77" w:rsidRPr="002D70DA" w:rsidRDefault="00150A77" w:rsidP="00150A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F56581" w:rsidRPr="002D70DA" w:rsidTr="00424C1D">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56581" w:rsidRPr="002D70DA" w:rsidRDefault="00F56581"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56581" w:rsidRPr="002D70DA" w:rsidRDefault="00F56581" w:rsidP="00603D16">
            <w:pPr>
              <w:jc w:val="center"/>
              <w:rPr>
                <w:rFonts w:ascii="Arial" w:hAnsi="Arial" w:cs="Arial"/>
                <w:b/>
                <w:bCs/>
                <w:color w:val="000000"/>
                <w:sz w:val="17"/>
                <w:szCs w:val="17"/>
              </w:rPr>
            </w:pPr>
            <w:r>
              <w:rPr>
                <w:rFonts w:ascii="Arial" w:hAnsi="Arial" w:cs="Arial"/>
                <w:b/>
                <w:bCs/>
                <w:color w:val="000000"/>
                <w:sz w:val="17"/>
                <w:szCs w:val="17"/>
              </w:rPr>
              <w:t>Monto</w:t>
            </w:r>
          </w:p>
        </w:tc>
      </w:tr>
      <w:tr w:rsidR="00F56581" w:rsidRPr="00882163" w:rsidTr="00424C1D">
        <w:trPr>
          <w:trHeight w:val="309"/>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56581" w:rsidRPr="000B4B11" w:rsidRDefault="007415AD" w:rsidP="000B4B11">
            <w:pPr>
              <w:rPr>
                <w:rFonts w:ascii="Arial" w:hAnsi="Arial" w:cs="Arial"/>
                <w:sz w:val="17"/>
                <w:szCs w:val="17"/>
              </w:rPr>
            </w:pPr>
            <w:r w:rsidRPr="007415AD">
              <w:rPr>
                <w:rFonts w:ascii="Arial" w:hAnsi="Arial" w:cs="Arial"/>
                <w:sz w:val="17"/>
                <w:szCs w:val="17"/>
              </w:rPr>
              <w:t>Estimaciones, Depreciaciones, Deterioros, Obsolescencia y Amortizaciones</w:t>
            </w:r>
          </w:p>
        </w:tc>
        <w:tc>
          <w:tcPr>
            <w:tcW w:w="2180" w:type="dxa"/>
            <w:tcBorders>
              <w:top w:val="single" w:sz="4" w:space="0" w:color="auto"/>
              <w:left w:val="nil"/>
              <w:bottom w:val="single" w:sz="4" w:space="0" w:color="auto"/>
              <w:right w:val="single" w:sz="4" w:space="0" w:color="auto"/>
            </w:tcBorders>
            <w:shd w:val="clear" w:color="auto" w:fill="auto"/>
          </w:tcPr>
          <w:p w:rsidR="00F56581" w:rsidRPr="000B4B11" w:rsidRDefault="007415AD" w:rsidP="000B4B11">
            <w:pPr>
              <w:jc w:val="right"/>
              <w:rPr>
                <w:rFonts w:ascii="Arial" w:hAnsi="Arial" w:cs="Arial"/>
                <w:sz w:val="17"/>
                <w:szCs w:val="17"/>
              </w:rPr>
            </w:pPr>
            <w:r w:rsidRPr="007415AD">
              <w:rPr>
                <w:rFonts w:ascii="Arial" w:hAnsi="Arial" w:cs="Arial"/>
                <w:sz w:val="17"/>
                <w:szCs w:val="17"/>
              </w:rPr>
              <w:t>121,431,708</w:t>
            </w:r>
          </w:p>
        </w:tc>
      </w:tr>
      <w:tr w:rsidR="00F56581" w:rsidTr="00424C1D">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F56581" w:rsidRPr="000B4B11" w:rsidRDefault="007415AD" w:rsidP="000B4B11">
            <w:pPr>
              <w:rPr>
                <w:rFonts w:ascii="Arial" w:hAnsi="Arial" w:cs="Arial"/>
                <w:sz w:val="17"/>
                <w:szCs w:val="17"/>
              </w:rPr>
            </w:pPr>
            <w:r w:rsidRPr="007415AD">
              <w:rPr>
                <w:rFonts w:ascii="Arial" w:hAnsi="Arial" w:cs="Arial"/>
                <w:sz w:val="17"/>
                <w:szCs w:val="17"/>
              </w:rPr>
              <w:t>Otros Gastos</w:t>
            </w:r>
          </w:p>
        </w:tc>
        <w:tc>
          <w:tcPr>
            <w:tcW w:w="2180" w:type="dxa"/>
            <w:tcBorders>
              <w:top w:val="nil"/>
              <w:left w:val="nil"/>
              <w:bottom w:val="single" w:sz="4" w:space="0" w:color="auto"/>
              <w:right w:val="single" w:sz="4" w:space="0" w:color="auto"/>
            </w:tcBorders>
            <w:shd w:val="clear" w:color="auto" w:fill="auto"/>
          </w:tcPr>
          <w:p w:rsidR="00F56581" w:rsidRPr="000B4B11" w:rsidRDefault="007415AD" w:rsidP="000B4B11">
            <w:pPr>
              <w:jc w:val="right"/>
              <w:rPr>
                <w:rFonts w:ascii="Arial" w:hAnsi="Arial" w:cs="Arial"/>
                <w:sz w:val="17"/>
                <w:szCs w:val="17"/>
              </w:rPr>
            </w:pPr>
            <w:r w:rsidRPr="007415AD">
              <w:rPr>
                <w:rFonts w:ascii="Arial" w:hAnsi="Arial" w:cs="Arial"/>
                <w:sz w:val="17"/>
                <w:szCs w:val="17"/>
              </w:rPr>
              <w:t>618,601,451</w:t>
            </w:r>
          </w:p>
        </w:tc>
      </w:tr>
      <w:tr w:rsidR="00F56581" w:rsidRPr="002D70DA" w:rsidTr="00F56581">
        <w:trPr>
          <w:trHeight w:val="240"/>
          <w:jc w:val="center"/>
        </w:trPr>
        <w:tc>
          <w:tcPr>
            <w:tcW w:w="4900" w:type="dxa"/>
            <w:tcBorders>
              <w:top w:val="nil"/>
              <w:left w:val="nil"/>
              <w:bottom w:val="nil"/>
              <w:right w:val="nil"/>
            </w:tcBorders>
            <w:shd w:val="clear" w:color="000000" w:fill="FFFFFF"/>
            <w:vAlign w:val="center"/>
            <w:hideMark/>
          </w:tcPr>
          <w:p w:rsidR="00F56581" w:rsidRPr="002D70DA" w:rsidRDefault="00A642F5" w:rsidP="00603D16">
            <w:pPr>
              <w:jc w:val="center"/>
              <w:rPr>
                <w:rFonts w:ascii="Arial" w:hAnsi="Arial" w:cs="Arial"/>
                <w:b/>
                <w:bCs/>
                <w:color w:val="000000"/>
                <w:sz w:val="17"/>
                <w:szCs w:val="17"/>
              </w:rPr>
            </w:pPr>
            <w:r w:rsidRPr="00A642F5">
              <w:rPr>
                <w:rFonts w:ascii="Arial" w:hAnsi="Arial" w:cs="Arial"/>
                <w:b/>
                <w:bCs/>
                <w:color w:val="000000"/>
                <w:sz w:val="17"/>
                <w:szCs w:val="17"/>
              </w:rPr>
              <w:t>Otros Gastos y Pérdidas Extraordinarias</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F56581" w:rsidRPr="002D70DA" w:rsidRDefault="00F56581" w:rsidP="00603D16">
            <w:pPr>
              <w:jc w:val="right"/>
              <w:rPr>
                <w:rFonts w:ascii="Arial" w:hAnsi="Arial" w:cs="Arial"/>
                <w:b/>
                <w:bCs/>
                <w:color w:val="000000"/>
                <w:sz w:val="17"/>
                <w:szCs w:val="17"/>
              </w:rPr>
            </w:pPr>
            <w:r w:rsidRPr="000B4B11">
              <w:rPr>
                <w:rFonts w:ascii="Arial" w:hAnsi="Arial" w:cs="Arial"/>
                <w:b/>
                <w:bCs/>
                <w:color w:val="000000"/>
                <w:sz w:val="17"/>
                <w:szCs w:val="17"/>
                <w14:numForm w14:val="lining"/>
              </w:rPr>
              <w:t>740,033,159</w:t>
            </w:r>
          </w:p>
        </w:tc>
      </w:tr>
    </w:tbl>
    <w:p w:rsidR="00A642F5" w:rsidRDefault="00A642F5" w:rsidP="00A642F5">
      <w:pPr>
        <w:spacing w:before="80" w:line="250" w:lineRule="exact"/>
        <w:ind w:left="709"/>
        <w:jc w:val="both"/>
        <w:rPr>
          <w:rFonts w:ascii="Arial" w:eastAsia="Calibri" w:hAnsi="Arial" w:cs="Arial"/>
          <w:spacing w:val="-1"/>
          <w:sz w:val="17"/>
          <w:szCs w:val="17"/>
        </w:rPr>
      </w:pPr>
    </w:p>
    <w:p w:rsidR="00A642F5" w:rsidRPr="002D70DA" w:rsidRDefault="00A642F5" w:rsidP="00A642F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el monto </w:t>
      </w:r>
      <w:r>
        <w:rPr>
          <w:rFonts w:ascii="Arial" w:eastAsia="Calibri" w:hAnsi="Arial" w:cs="Arial"/>
          <w:spacing w:val="-1"/>
          <w:sz w:val="17"/>
          <w:szCs w:val="17"/>
        </w:rPr>
        <w:t xml:space="preserve">de la cuenta </w:t>
      </w:r>
      <w:r w:rsidRPr="00A642F5">
        <w:rPr>
          <w:rFonts w:ascii="Arial" w:eastAsia="Calibri" w:hAnsi="Arial" w:cs="Arial"/>
          <w:spacing w:val="-1"/>
          <w:sz w:val="17"/>
          <w:szCs w:val="17"/>
        </w:rPr>
        <w:t xml:space="preserve">Otros Gastos </w:t>
      </w:r>
      <w:r>
        <w:rPr>
          <w:rFonts w:ascii="Arial" w:eastAsia="Calibri" w:hAnsi="Arial" w:cs="Arial"/>
          <w:spacing w:val="-1"/>
          <w:sz w:val="17"/>
          <w:szCs w:val="17"/>
        </w:rPr>
        <w:t xml:space="preserve">por </w:t>
      </w:r>
      <w:r w:rsidRPr="00A642F5">
        <w:rPr>
          <w:rFonts w:ascii="Arial" w:eastAsia="Calibri" w:hAnsi="Arial" w:cs="Arial"/>
          <w:spacing w:val="-1"/>
          <w:sz w:val="17"/>
          <w:szCs w:val="17"/>
        </w:rPr>
        <w:t>618,601,451</w:t>
      </w:r>
      <w:r>
        <w:rPr>
          <w:rFonts w:ascii="Arial" w:eastAsia="Calibri" w:hAnsi="Arial" w:cs="Arial"/>
          <w:spacing w:val="-1"/>
          <w:sz w:val="17"/>
          <w:szCs w:val="17"/>
        </w:rPr>
        <w:t xml:space="preserve"> al 31 de diciembre del 2016</w:t>
      </w:r>
      <w:r w:rsidRPr="002D70DA">
        <w:rPr>
          <w:rFonts w:ascii="Arial" w:eastAsia="Calibri" w:hAnsi="Arial" w:cs="Arial"/>
          <w:spacing w:val="-1"/>
          <w:sz w:val="17"/>
          <w:szCs w:val="17"/>
        </w:rPr>
        <w:t xml:space="preserve">, </w:t>
      </w:r>
      <w:r>
        <w:rPr>
          <w:rFonts w:ascii="Arial" w:eastAsia="Calibri" w:hAnsi="Arial" w:cs="Arial"/>
          <w:spacing w:val="-1"/>
          <w:sz w:val="17"/>
          <w:szCs w:val="17"/>
        </w:rPr>
        <w:t>correspondiente al registro de los gastos realizados por los Fideicomisos.</w:t>
      </w:r>
    </w:p>
    <w:p w:rsidR="00A642F5" w:rsidRPr="005540CE" w:rsidRDefault="00A642F5" w:rsidP="00A642F5">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6834" w:type="dxa"/>
        <w:jc w:val="center"/>
        <w:tblCellMar>
          <w:left w:w="70" w:type="dxa"/>
          <w:right w:w="70" w:type="dxa"/>
        </w:tblCellMar>
        <w:tblLook w:val="04A0" w:firstRow="1" w:lastRow="0" w:firstColumn="1" w:lastColumn="0" w:noHBand="0" w:noVBand="1"/>
      </w:tblPr>
      <w:tblGrid>
        <w:gridCol w:w="4743"/>
        <w:gridCol w:w="2091"/>
      </w:tblGrid>
      <w:tr w:rsidR="00A642F5" w:rsidRPr="002D70DA" w:rsidTr="004F544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2F5" w:rsidRPr="002D70DA" w:rsidRDefault="00A642F5" w:rsidP="00603D1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A642F5" w:rsidRPr="002D70DA" w:rsidRDefault="00A642F5" w:rsidP="00603D16">
            <w:pPr>
              <w:jc w:val="center"/>
              <w:rPr>
                <w:rFonts w:ascii="Arial" w:hAnsi="Arial" w:cs="Arial"/>
                <w:b/>
                <w:bCs/>
                <w:color w:val="000000"/>
                <w:sz w:val="17"/>
                <w:szCs w:val="17"/>
              </w:rPr>
            </w:pPr>
            <w:r>
              <w:rPr>
                <w:rFonts w:ascii="Arial" w:hAnsi="Arial" w:cs="Arial"/>
                <w:b/>
                <w:bCs/>
                <w:color w:val="000000"/>
                <w:sz w:val="17"/>
                <w:szCs w:val="17"/>
              </w:rPr>
              <w:t>Monto</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Fondo de</w:t>
            </w:r>
            <w:r w:rsidR="004F5447">
              <w:rPr>
                <w:rFonts w:ascii="Arial" w:hAnsi="Arial" w:cs="Arial"/>
                <w:sz w:val="17"/>
                <w:szCs w:val="17"/>
              </w:rPr>
              <w:t xml:space="preserve"> fomento agropecuario del E</w:t>
            </w:r>
            <w:r w:rsidRPr="00A4659E">
              <w:rPr>
                <w:rFonts w:ascii="Arial" w:hAnsi="Arial" w:cs="Arial"/>
                <w:sz w:val="17"/>
                <w:szCs w:val="17"/>
              </w:rPr>
              <w:t>stado de Querétaro (FOFAE)</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264,650,893 </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Fideico</w:t>
            </w:r>
            <w:r w:rsidR="004F5447">
              <w:rPr>
                <w:rFonts w:ascii="Arial" w:hAnsi="Arial" w:cs="Arial"/>
                <w:sz w:val="17"/>
                <w:szCs w:val="17"/>
              </w:rPr>
              <w:t>miso promotor de turismo en el E</w:t>
            </w:r>
            <w:r w:rsidRPr="00A4659E">
              <w:rPr>
                <w:rFonts w:ascii="Arial" w:hAnsi="Arial" w:cs="Arial"/>
                <w:sz w:val="17"/>
                <w:szCs w:val="17"/>
              </w:rPr>
              <w:t>stado de Querétaro "FIPROTUR"</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42,945,071 </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Fideicomiso para la</w:t>
            </w:r>
            <w:r>
              <w:rPr>
                <w:rFonts w:ascii="Arial" w:hAnsi="Arial" w:cs="Arial"/>
                <w:sz w:val="17"/>
                <w:szCs w:val="17"/>
              </w:rPr>
              <w:t xml:space="preserve"> </w:t>
            </w:r>
            <w:r w:rsidRPr="00A4659E">
              <w:rPr>
                <w:rFonts w:ascii="Arial" w:hAnsi="Arial" w:cs="Arial"/>
                <w:sz w:val="17"/>
                <w:szCs w:val="17"/>
              </w:rPr>
              <w:t>vivienda del magisterio de Querétaro</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67,915,440 </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Fideicomiso de apoyo para la implementación de la reforma al s</w:t>
            </w:r>
            <w:r w:rsidR="004F5447">
              <w:rPr>
                <w:rFonts w:ascii="Arial" w:hAnsi="Arial" w:cs="Arial"/>
                <w:sz w:val="17"/>
                <w:szCs w:val="17"/>
              </w:rPr>
              <w:t>istema de justicia penal en el E</w:t>
            </w:r>
            <w:r w:rsidRPr="00A4659E">
              <w:rPr>
                <w:rFonts w:ascii="Arial" w:hAnsi="Arial" w:cs="Arial"/>
                <w:sz w:val="17"/>
                <w:szCs w:val="17"/>
              </w:rPr>
              <w:t>stado de Querétaro</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159,118,701 </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Fideicomiso para la procuración de justicia, asistencia y apoyo a las víctimas del delito</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299,030 </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PRONABES</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59,033,892 </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Fideicomiso de administración e inversión 244/2 de la filarmónica de Querétaro</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24,271,011 </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Fondo de garantía para l</w:t>
            </w:r>
            <w:r w:rsidR="004F5447">
              <w:rPr>
                <w:rFonts w:ascii="Arial" w:hAnsi="Arial" w:cs="Arial"/>
                <w:sz w:val="17"/>
                <w:szCs w:val="17"/>
              </w:rPr>
              <w:t>as empresas de solidaridad del E</w:t>
            </w:r>
            <w:r w:rsidRPr="00A4659E">
              <w:rPr>
                <w:rFonts w:ascii="Arial" w:hAnsi="Arial" w:cs="Arial"/>
                <w:sz w:val="17"/>
                <w:szCs w:val="17"/>
              </w:rPr>
              <w:t>stado de Querétaro (FOGAESEQ)</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160,370 </w:t>
            </w:r>
          </w:p>
        </w:tc>
      </w:tr>
      <w:tr w:rsidR="00A4659E" w:rsidRPr="00A05A53" w:rsidTr="0070319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Fideicomiso irrevocable de inversión, administración y garantía "FIRE</w:t>
            </w:r>
            <w:r>
              <w:rPr>
                <w:rFonts w:ascii="Arial" w:hAnsi="Arial" w:cs="Arial"/>
                <w:sz w:val="17"/>
                <w:szCs w:val="17"/>
              </w:rPr>
              <w:t xml:space="preserve"> </w:t>
            </w:r>
            <w:r w:rsidRPr="00A4659E">
              <w:rPr>
                <w:rFonts w:ascii="Arial" w:hAnsi="Arial" w:cs="Arial"/>
                <w:sz w:val="17"/>
                <w:szCs w:val="17"/>
              </w:rPr>
              <w:t>2000"</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197,430 </w:t>
            </w:r>
          </w:p>
        </w:tc>
      </w:tr>
      <w:tr w:rsidR="00A4659E" w:rsidRPr="00A05A53" w:rsidTr="00703199">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A4659E" w:rsidRPr="00A4659E" w:rsidRDefault="00A4659E" w:rsidP="00A4659E">
            <w:pPr>
              <w:rPr>
                <w:rFonts w:ascii="Arial" w:hAnsi="Arial" w:cs="Arial"/>
                <w:sz w:val="17"/>
                <w:szCs w:val="17"/>
              </w:rPr>
            </w:pPr>
            <w:r w:rsidRPr="00A4659E">
              <w:rPr>
                <w:rFonts w:ascii="Arial" w:hAnsi="Arial" w:cs="Arial"/>
                <w:sz w:val="17"/>
                <w:szCs w:val="17"/>
              </w:rPr>
              <w:t xml:space="preserve">Fideicomiso fondo de diversificación productiva en la </w:t>
            </w:r>
            <w:r w:rsidR="004F5447">
              <w:rPr>
                <w:rFonts w:ascii="Arial" w:hAnsi="Arial" w:cs="Arial"/>
                <w:sz w:val="17"/>
                <w:szCs w:val="17"/>
              </w:rPr>
              <w:t>Sierra G</w:t>
            </w:r>
            <w:r w:rsidRPr="00A4659E">
              <w:rPr>
                <w:rFonts w:ascii="Arial" w:hAnsi="Arial" w:cs="Arial"/>
                <w:sz w:val="17"/>
                <w:szCs w:val="17"/>
              </w:rPr>
              <w:t>orda</w:t>
            </w:r>
          </w:p>
        </w:tc>
        <w:tc>
          <w:tcPr>
            <w:tcW w:w="2091" w:type="dxa"/>
            <w:tcBorders>
              <w:top w:val="single" w:sz="4" w:space="0" w:color="auto"/>
              <w:left w:val="nil"/>
              <w:bottom w:val="single" w:sz="4" w:space="0" w:color="auto"/>
              <w:right w:val="single" w:sz="4" w:space="0" w:color="auto"/>
            </w:tcBorders>
            <w:shd w:val="clear" w:color="auto" w:fill="auto"/>
          </w:tcPr>
          <w:p w:rsidR="00A4659E" w:rsidRPr="00A4659E" w:rsidRDefault="00A4659E" w:rsidP="00A4659E">
            <w:pPr>
              <w:jc w:val="right"/>
              <w:rPr>
                <w:rFonts w:ascii="Arial" w:hAnsi="Arial" w:cs="Arial"/>
                <w:sz w:val="17"/>
                <w:szCs w:val="17"/>
              </w:rPr>
            </w:pPr>
            <w:r w:rsidRPr="00A4659E">
              <w:rPr>
                <w:rFonts w:ascii="Arial" w:hAnsi="Arial" w:cs="Arial"/>
                <w:sz w:val="17"/>
                <w:szCs w:val="17"/>
              </w:rPr>
              <w:t xml:space="preserve">9,613 </w:t>
            </w:r>
          </w:p>
        </w:tc>
      </w:tr>
      <w:tr w:rsidR="00A642F5" w:rsidRPr="00C90054" w:rsidTr="00703199">
        <w:trPr>
          <w:trHeight w:val="240"/>
          <w:jc w:val="center"/>
        </w:trPr>
        <w:tc>
          <w:tcPr>
            <w:tcW w:w="4743" w:type="dxa"/>
            <w:tcBorders>
              <w:top w:val="single" w:sz="4" w:space="0" w:color="auto"/>
              <w:right w:val="single" w:sz="4" w:space="0" w:color="auto"/>
            </w:tcBorders>
            <w:shd w:val="clear" w:color="auto" w:fill="auto"/>
            <w:vAlign w:val="center"/>
          </w:tcPr>
          <w:p w:rsidR="00A642F5" w:rsidRPr="00F93CE5" w:rsidRDefault="00A642F5" w:rsidP="00703199">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642F5" w:rsidRPr="00C90054" w:rsidRDefault="00A4659E" w:rsidP="00603D16">
            <w:pPr>
              <w:jc w:val="right"/>
              <w:rPr>
                <w:rFonts w:ascii="Arial" w:hAnsi="Arial" w:cs="Arial"/>
                <w:b/>
                <w:bCs/>
                <w:color w:val="000000"/>
                <w:sz w:val="17"/>
                <w:szCs w:val="17"/>
              </w:rPr>
            </w:pPr>
            <w:r w:rsidRPr="00A4659E">
              <w:rPr>
                <w:rFonts w:ascii="Arial" w:hAnsi="Arial" w:cs="Arial"/>
                <w:b/>
                <w:bCs/>
                <w:color w:val="000000"/>
                <w:sz w:val="17"/>
                <w:szCs w:val="17"/>
              </w:rPr>
              <w:t>618,601,451</w:t>
            </w:r>
          </w:p>
        </w:tc>
      </w:tr>
    </w:tbl>
    <w:p w:rsidR="00BC0DE0" w:rsidRDefault="00BC0DE0" w:rsidP="00EE16EB">
      <w:pPr>
        <w:spacing w:before="80" w:line="250" w:lineRule="exact"/>
        <w:ind w:left="709"/>
        <w:jc w:val="both"/>
        <w:rPr>
          <w:rFonts w:ascii="Arial" w:eastAsia="Calibri" w:hAnsi="Arial" w:cs="Arial"/>
          <w:spacing w:val="-1"/>
          <w:sz w:val="17"/>
          <w:szCs w:val="17"/>
        </w:rPr>
      </w:pPr>
    </w:p>
    <w:p w:rsidR="00B66CE9" w:rsidRDefault="00B66CE9">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F16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2D70DA" w:rsidRDefault="00603D16" w:rsidP="00603D16">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hideMark/>
          </w:tcPr>
          <w:p w:rsidR="00603D16" w:rsidRPr="003B73FB" w:rsidRDefault="00603D16" w:rsidP="00603D16">
            <w:pPr>
              <w:jc w:val="right"/>
              <w:rPr>
                <w:rFonts w:ascii="Arial" w:hAnsi="Arial" w:cs="Arial"/>
                <w:b/>
                <w:sz w:val="17"/>
                <w:szCs w:val="17"/>
              </w:rPr>
            </w:pPr>
            <w:r w:rsidRPr="003B73FB">
              <w:rPr>
                <w:rFonts w:ascii="Arial" w:hAnsi="Arial" w:cs="Arial"/>
                <w:b/>
                <w:sz w:val="17"/>
                <w:szCs w:val="17"/>
              </w:rPr>
              <w:t xml:space="preserve">-295,445,929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3B73FB" w:rsidRDefault="00603D16" w:rsidP="00603D16">
            <w:pPr>
              <w:ind w:firstLineChars="100" w:firstLine="170"/>
              <w:rPr>
                <w:rFonts w:ascii="Arial" w:hAnsi="Arial" w:cs="Arial"/>
                <w:b/>
                <w:color w:val="000000"/>
                <w:sz w:val="17"/>
                <w:szCs w:val="17"/>
              </w:rPr>
            </w:pPr>
            <w:r w:rsidRPr="003B73FB">
              <w:rPr>
                <w:rFonts w:ascii="Arial" w:hAnsi="Arial" w:cs="Arial"/>
                <w:b/>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tcPr>
          <w:p w:rsidR="00603D16" w:rsidRPr="003B73FB" w:rsidRDefault="00603D16" w:rsidP="00603D16">
            <w:pPr>
              <w:jc w:val="right"/>
              <w:rPr>
                <w:rFonts w:ascii="Arial" w:hAnsi="Arial" w:cs="Arial"/>
                <w:b/>
                <w:sz w:val="17"/>
                <w:szCs w:val="17"/>
              </w:rPr>
            </w:pPr>
            <w:r w:rsidRPr="003B73FB">
              <w:rPr>
                <w:rFonts w:ascii="Arial" w:hAnsi="Arial" w:cs="Arial"/>
                <w:b/>
                <w:sz w:val="17"/>
                <w:szCs w:val="17"/>
              </w:rPr>
              <w:t xml:space="preserve">0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3B73FB" w:rsidRDefault="00603D16" w:rsidP="00603D16">
            <w:pPr>
              <w:ind w:firstLineChars="100" w:firstLine="170"/>
              <w:rPr>
                <w:rFonts w:ascii="Arial" w:hAnsi="Arial" w:cs="Arial"/>
                <w:b/>
                <w:color w:val="000000"/>
                <w:sz w:val="17"/>
                <w:szCs w:val="17"/>
              </w:rPr>
            </w:pPr>
            <w:r w:rsidRPr="003B73FB">
              <w:rPr>
                <w:rFonts w:ascii="Arial" w:hAnsi="Arial" w:cs="Arial"/>
                <w:b/>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tcPr>
          <w:p w:rsidR="00603D16" w:rsidRPr="003B73FB" w:rsidRDefault="00603D16" w:rsidP="00603D16">
            <w:pPr>
              <w:jc w:val="right"/>
              <w:rPr>
                <w:rFonts w:ascii="Arial" w:hAnsi="Arial" w:cs="Arial"/>
                <w:b/>
                <w:sz w:val="17"/>
                <w:szCs w:val="17"/>
              </w:rPr>
            </w:pPr>
            <w:r w:rsidRPr="003B73FB">
              <w:rPr>
                <w:rFonts w:ascii="Arial" w:hAnsi="Arial" w:cs="Arial"/>
                <w:b/>
                <w:sz w:val="17"/>
                <w:szCs w:val="17"/>
              </w:rPr>
              <w:t xml:space="preserve">97,165,942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3B73FB" w:rsidRDefault="00603D16" w:rsidP="00603D16">
            <w:pPr>
              <w:ind w:firstLineChars="100" w:firstLine="170"/>
              <w:rPr>
                <w:rFonts w:ascii="Arial" w:hAnsi="Arial" w:cs="Arial"/>
                <w:b/>
                <w:color w:val="000000"/>
                <w:sz w:val="17"/>
                <w:szCs w:val="17"/>
              </w:rPr>
            </w:pPr>
            <w:r w:rsidRPr="003B73FB">
              <w:rPr>
                <w:rFonts w:ascii="Arial" w:hAnsi="Arial" w:cs="Arial"/>
                <w:b/>
                <w:color w:val="000000"/>
                <w:sz w:val="17"/>
                <w:szCs w:val="17"/>
              </w:rPr>
              <w:t>Bienes Muebles</w:t>
            </w:r>
          </w:p>
        </w:tc>
        <w:tc>
          <w:tcPr>
            <w:tcW w:w="2180" w:type="dxa"/>
            <w:tcBorders>
              <w:top w:val="nil"/>
              <w:left w:val="nil"/>
              <w:bottom w:val="single" w:sz="4" w:space="0" w:color="auto"/>
              <w:right w:val="single" w:sz="4" w:space="0" w:color="auto"/>
            </w:tcBorders>
            <w:shd w:val="clear" w:color="auto" w:fill="auto"/>
          </w:tcPr>
          <w:p w:rsidR="00603D16" w:rsidRPr="003B73FB" w:rsidRDefault="00603D16" w:rsidP="00603D16">
            <w:pPr>
              <w:jc w:val="right"/>
              <w:rPr>
                <w:rFonts w:ascii="Arial" w:hAnsi="Arial" w:cs="Arial"/>
                <w:b/>
                <w:sz w:val="17"/>
                <w:szCs w:val="17"/>
              </w:rPr>
            </w:pPr>
            <w:r w:rsidRPr="003B73FB">
              <w:rPr>
                <w:rFonts w:ascii="Arial" w:hAnsi="Arial" w:cs="Arial"/>
                <w:b/>
                <w:sz w:val="17"/>
                <w:szCs w:val="17"/>
              </w:rPr>
              <w:t xml:space="preserve">-386,397,989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03D16" w:rsidRPr="002D70DA" w:rsidRDefault="00603D16" w:rsidP="00603D16">
            <w:pPr>
              <w:ind w:left="709" w:firstLineChars="100" w:firstLine="170"/>
              <w:rPr>
                <w:rFonts w:ascii="Arial" w:hAnsi="Arial" w:cs="Arial"/>
                <w:color w:val="000000"/>
                <w:sz w:val="17"/>
                <w:szCs w:val="17"/>
              </w:rPr>
            </w:pPr>
            <w:r>
              <w:rPr>
                <w:rFonts w:ascii="Arial" w:hAnsi="Arial" w:cs="Arial"/>
                <w:color w:val="000000"/>
                <w:sz w:val="17"/>
                <w:szCs w:val="17"/>
              </w:rPr>
              <w:t>Traspaso a la Fiscalía General del Estado</w:t>
            </w:r>
          </w:p>
        </w:tc>
        <w:tc>
          <w:tcPr>
            <w:tcW w:w="2180" w:type="dxa"/>
            <w:tcBorders>
              <w:top w:val="nil"/>
              <w:left w:val="nil"/>
              <w:bottom w:val="single" w:sz="4" w:space="0" w:color="auto"/>
              <w:right w:val="single" w:sz="4" w:space="0" w:color="auto"/>
            </w:tcBorders>
            <w:shd w:val="clear" w:color="auto" w:fill="auto"/>
          </w:tcPr>
          <w:p w:rsidR="00603D16" w:rsidRPr="00603D16" w:rsidRDefault="00603D16" w:rsidP="00603D16">
            <w:pPr>
              <w:jc w:val="right"/>
              <w:rPr>
                <w:rFonts w:ascii="Arial" w:hAnsi="Arial" w:cs="Arial"/>
                <w:sz w:val="17"/>
                <w:szCs w:val="17"/>
              </w:rPr>
            </w:pPr>
            <w:r w:rsidRPr="00603D16">
              <w:rPr>
                <w:rFonts w:ascii="Arial" w:hAnsi="Arial" w:cs="Arial"/>
                <w:sz w:val="17"/>
                <w:szCs w:val="17"/>
              </w:rPr>
              <w:t xml:space="preserve">-344,620,811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03D16" w:rsidRDefault="00603D16" w:rsidP="00603D16">
            <w:pPr>
              <w:ind w:left="709" w:firstLineChars="100" w:firstLine="170"/>
              <w:rPr>
                <w:rFonts w:ascii="Arial" w:hAnsi="Arial" w:cs="Arial"/>
                <w:color w:val="000000"/>
                <w:sz w:val="17"/>
                <w:szCs w:val="17"/>
              </w:rPr>
            </w:pPr>
            <w:r>
              <w:rPr>
                <w:rFonts w:ascii="Arial" w:hAnsi="Arial" w:cs="Arial"/>
                <w:color w:val="000000"/>
                <w:sz w:val="17"/>
                <w:szCs w:val="17"/>
              </w:rPr>
              <w:t>Altas y bajas del ejercicio</w:t>
            </w:r>
          </w:p>
        </w:tc>
        <w:tc>
          <w:tcPr>
            <w:tcW w:w="2180" w:type="dxa"/>
            <w:tcBorders>
              <w:top w:val="nil"/>
              <w:left w:val="nil"/>
              <w:bottom w:val="single" w:sz="4" w:space="0" w:color="auto"/>
              <w:right w:val="single" w:sz="4" w:space="0" w:color="auto"/>
            </w:tcBorders>
            <w:shd w:val="clear" w:color="auto" w:fill="auto"/>
          </w:tcPr>
          <w:p w:rsidR="00603D16" w:rsidRPr="00603D16" w:rsidRDefault="00603D16" w:rsidP="00603D16">
            <w:pPr>
              <w:jc w:val="right"/>
              <w:rPr>
                <w:rFonts w:ascii="Arial" w:hAnsi="Arial" w:cs="Arial"/>
                <w:sz w:val="17"/>
                <w:szCs w:val="17"/>
              </w:rPr>
            </w:pPr>
            <w:r w:rsidRPr="00603D16">
              <w:rPr>
                <w:rFonts w:ascii="Arial" w:hAnsi="Arial" w:cs="Arial"/>
                <w:sz w:val="17"/>
                <w:szCs w:val="17"/>
              </w:rPr>
              <w:t xml:space="preserve">-41,777,178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3B73FB" w:rsidRDefault="00603D16" w:rsidP="00603D16">
            <w:pPr>
              <w:ind w:firstLineChars="100" w:firstLine="170"/>
              <w:rPr>
                <w:rFonts w:ascii="Arial" w:hAnsi="Arial" w:cs="Arial"/>
                <w:b/>
                <w:color w:val="000000"/>
                <w:sz w:val="17"/>
                <w:szCs w:val="17"/>
              </w:rPr>
            </w:pPr>
            <w:r w:rsidRPr="003B73FB">
              <w:rPr>
                <w:rFonts w:ascii="Arial" w:hAnsi="Arial" w:cs="Arial"/>
                <w:b/>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tcPr>
          <w:p w:rsidR="00603D16" w:rsidRPr="003B73FB" w:rsidRDefault="00603D16" w:rsidP="00603D16">
            <w:pPr>
              <w:jc w:val="right"/>
              <w:rPr>
                <w:rFonts w:ascii="Arial" w:hAnsi="Arial" w:cs="Arial"/>
                <w:b/>
                <w:sz w:val="17"/>
                <w:szCs w:val="17"/>
              </w:rPr>
            </w:pPr>
            <w:r w:rsidRPr="003B73FB">
              <w:rPr>
                <w:rFonts w:ascii="Arial" w:hAnsi="Arial" w:cs="Arial"/>
                <w:b/>
                <w:sz w:val="17"/>
                <w:szCs w:val="17"/>
              </w:rPr>
              <w:t xml:space="preserve">-16,688,684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03D16" w:rsidRPr="002D70DA" w:rsidRDefault="00603D16" w:rsidP="00603D16">
            <w:pPr>
              <w:ind w:left="709" w:firstLineChars="100" w:firstLine="170"/>
              <w:rPr>
                <w:rFonts w:ascii="Arial" w:hAnsi="Arial" w:cs="Arial"/>
                <w:color w:val="000000"/>
                <w:sz w:val="17"/>
                <w:szCs w:val="17"/>
              </w:rPr>
            </w:pPr>
            <w:r>
              <w:rPr>
                <w:rFonts w:ascii="Arial" w:hAnsi="Arial" w:cs="Arial"/>
                <w:color w:val="000000"/>
                <w:sz w:val="17"/>
                <w:szCs w:val="17"/>
              </w:rPr>
              <w:t>Traspaso a la Fiscalía General del Estado</w:t>
            </w:r>
          </w:p>
        </w:tc>
        <w:tc>
          <w:tcPr>
            <w:tcW w:w="2180" w:type="dxa"/>
            <w:tcBorders>
              <w:top w:val="nil"/>
              <w:left w:val="nil"/>
              <w:bottom w:val="single" w:sz="4" w:space="0" w:color="auto"/>
              <w:right w:val="single" w:sz="4" w:space="0" w:color="auto"/>
            </w:tcBorders>
            <w:shd w:val="clear" w:color="auto" w:fill="auto"/>
          </w:tcPr>
          <w:p w:rsidR="00603D16" w:rsidRPr="00603D16" w:rsidRDefault="00603D16" w:rsidP="00603D16">
            <w:pPr>
              <w:jc w:val="right"/>
              <w:rPr>
                <w:rFonts w:ascii="Arial" w:hAnsi="Arial" w:cs="Arial"/>
                <w:sz w:val="17"/>
                <w:szCs w:val="17"/>
              </w:rPr>
            </w:pPr>
            <w:r w:rsidRPr="00603D16">
              <w:rPr>
                <w:rFonts w:ascii="Arial" w:hAnsi="Arial" w:cs="Arial"/>
                <w:sz w:val="17"/>
                <w:szCs w:val="17"/>
              </w:rPr>
              <w:t xml:space="preserve">-17,494,252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03D16" w:rsidRDefault="00603D16" w:rsidP="00603D16">
            <w:pPr>
              <w:ind w:left="709" w:firstLineChars="100" w:firstLine="170"/>
              <w:rPr>
                <w:rFonts w:ascii="Arial" w:hAnsi="Arial" w:cs="Arial"/>
                <w:color w:val="000000"/>
                <w:sz w:val="17"/>
                <w:szCs w:val="17"/>
              </w:rPr>
            </w:pPr>
            <w:r>
              <w:rPr>
                <w:rFonts w:ascii="Arial" w:hAnsi="Arial" w:cs="Arial"/>
                <w:color w:val="000000"/>
                <w:sz w:val="17"/>
                <w:szCs w:val="17"/>
              </w:rPr>
              <w:t>Altas y bajas del ejercicio</w:t>
            </w:r>
          </w:p>
        </w:tc>
        <w:tc>
          <w:tcPr>
            <w:tcW w:w="2180" w:type="dxa"/>
            <w:tcBorders>
              <w:top w:val="nil"/>
              <w:left w:val="nil"/>
              <w:bottom w:val="single" w:sz="4" w:space="0" w:color="auto"/>
              <w:right w:val="single" w:sz="4" w:space="0" w:color="auto"/>
            </w:tcBorders>
            <w:shd w:val="clear" w:color="auto" w:fill="auto"/>
          </w:tcPr>
          <w:p w:rsidR="00603D16" w:rsidRPr="00603D16" w:rsidRDefault="00603D16" w:rsidP="00603D16">
            <w:pPr>
              <w:jc w:val="right"/>
              <w:rPr>
                <w:rFonts w:ascii="Arial" w:hAnsi="Arial" w:cs="Arial"/>
                <w:sz w:val="17"/>
                <w:szCs w:val="17"/>
              </w:rPr>
            </w:pPr>
            <w:r w:rsidRPr="00603D16">
              <w:rPr>
                <w:rFonts w:ascii="Arial" w:hAnsi="Arial" w:cs="Arial"/>
                <w:sz w:val="17"/>
                <w:szCs w:val="17"/>
              </w:rPr>
              <w:t xml:space="preserve">805,568 </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03D16" w:rsidRPr="003B73FB" w:rsidRDefault="00603D16" w:rsidP="00603D16">
            <w:pPr>
              <w:ind w:firstLineChars="100" w:firstLine="170"/>
              <w:rPr>
                <w:rFonts w:ascii="Arial" w:hAnsi="Arial" w:cs="Arial"/>
                <w:b/>
                <w:color w:val="000000"/>
                <w:sz w:val="17"/>
                <w:szCs w:val="17"/>
              </w:rPr>
            </w:pPr>
            <w:r w:rsidRPr="003B73FB">
              <w:rPr>
                <w:rFonts w:ascii="Arial" w:hAnsi="Arial" w:cs="Arial"/>
                <w:b/>
                <w:color w:val="000000"/>
                <w:sz w:val="17"/>
                <w:szCs w:val="17"/>
              </w:rPr>
              <w:t>Transferencias de capital en dinero o en especie</w:t>
            </w:r>
          </w:p>
        </w:tc>
        <w:tc>
          <w:tcPr>
            <w:tcW w:w="2180" w:type="dxa"/>
            <w:tcBorders>
              <w:top w:val="nil"/>
              <w:left w:val="nil"/>
              <w:bottom w:val="single" w:sz="4" w:space="0" w:color="auto"/>
              <w:right w:val="single" w:sz="4" w:space="0" w:color="auto"/>
            </w:tcBorders>
            <w:shd w:val="clear" w:color="auto" w:fill="auto"/>
          </w:tcPr>
          <w:p w:rsidR="00603D16" w:rsidRPr="003B73FB" w:rsidRDefault="00603D16" w:rsidP="00603D16">
            <w:pPr>
              <w:jc w:val="right"/>
              <w:rPr>
                <w:rFonts w:ascii="Arial" w:hAnsi="Arial" w:cs="Arial"/>
                <w:b/>
                <w:sz w:val="17"/>
                <w:szCs w:val="17"/>
              </w:rPr>
            </w:pPr>
            <w:r w:rsidRPr="003B73FB">
              <w:rPr>
                <w:rFonts w:ascii="Arial" w:hAnsi="Arial" w:cs="Arial"/>
                <w:b/>
                <w:sz w:val="17"/>
                <w:szCs w:val="17"/>
              </w:rPr>
              <w:t xml:space="preserve">10,474,802 </w:t>
            </w:r>
          </w:p>
        </w:tc>
      </w:tr>
    </w:tbl>
    <w:p w:rsidR="008E767A" w:rsidRDefault="003977E2" w:rsidP="00BC0DE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Destaca primordialmente los bienes transferidos a la </w:t>
      </w:r>
      <w:r w:rsidRPr="003977E2">
        <w:rPr>
          <w:rFonts w:ascii="Arial" w:eastAsia="Calibri" w:hAnsi="Arial" w:cs="Arial"/>
          <w:spacing w:val="-1"/>
          <w:sz w:val="17"/>
          <w:szCs w:val="17"/>
        </w:rPr>
        <w:t>Fiscalía General del Estado</w:t>
      </w:r>
      <w:r>
        <w:rPr>
          <w:rFonts w:ascii="Arial" w:eastAsia="Calibri" w:hAnsi="Arial" w:cs="Arial"/>
          <w:spacing w:val="-1"/>
          <w:sz w:val="17"/>
          <w:szCs w:val="17"/>
        </w:rPr>
        <w:t xml:space="preserve"> de Querétaro</w:t>
      </w:r>
      <w:r w:rsidR="002D567A">
        <w:rPr>
          <w:rFonts w:ascii="Arial" w:eastAsia="Calibri" w:hAnsi="Arial" w:cs="Arial"/>
          <w:spacing w:val="-1"/>
          <w:sz w:val="17"/>
          <w:szCs w:val="17"/>
        </w:rPr>
        <w:t>.</w:t>
      </w:r>
    </w:p>
    <w:p w:rsidR="008E767A" w:rsidRDefault="008E767A">
      <w:pPr>
        <w:rPr>
          <w:rFonts w:ascii="Arial" w:eastAsia="Calibri" w:hAnsi="Arial" w:cs="Arial"/>
          <w:spacing w:val="-1"/>
          <w:sz w:val="17"/>
          <w:szCs w:val="17"/>
        </w:rPr>
      </w:pPr>
    </w:p>
    <w:p w:rsidR="00791E59" w:rsidRDefault="00791E59">
      <w:pPr>
        <w:rPr>
          <w:rFonts w:ascii="Arial" w:eastAsia="Calibri" w:hAnsi="Arial" w:cs="Arial"/>
          <w:spacing w:val="-1"/>
          <w:sz w:val="17"/>
          <w:szCs w:val="17"/>
        </w:rPr>
      </w:pPr>
      <w:r>
        <w:rPr>
          <w:rFonts w:ascii="Arial" w:eastAsia="Calibri" w:hAnsi="Arial" w:cs="Arial"/>
          <w:spacing w:val="-1"/>
          <w:sz w:val="17"/>
          <w:szCs w:val="17"/>
        </w:rPr>
        <w:br w:type="page"/>
      </w: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b/>
                <w:sz w:val="17"/>
                <w:szCs w:val="17"/>
              </w:rPr>
            </w:pPr>
            <w:r w:rsidRPr="008B2E49">
              <w:rPr>
                <w:rFonts w:ascii="Arial" w:hAnsi="Arial" w:cs="Arial"/>
                <w:b/>
                <w:sz w:val="17"/>
                <w:szCs w:val="17"/>
              </w:rPr>
              <w:t xml:space="preserve">3,697,847,761 </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b/>
                <w:sz w:val="17"/>
                <w:szCs w:val="17"/>
              </w:rPr>
            </w:pPr>
            <w:r w:rsidRPr="008B2E49">
              <w:rPr>
                <w:rFonts w:ascii="Arial" w:hAnsi="Arial" w:cs="Arial"/>
                <w:b/>
                <w:sz w:val="17"/>
                <w:szCs w:val="17"/>
              </w:rPr>
              <w:t xml:space="preserve">3,090,895,225 </w:t>
            </w:r>
          </w:p>
        </w:tc>
      </w:tr>
      <w:tr w:rsidR="008B2E49" w:rsidRPr="002D70DA" w:rsidTr="00791E59">
        <w:trPr>
          <w:trHeight w:val="22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8B2E49" w:rsidRPr="00736A30" w:rsidRDefault="008B2E49" w:rsidP="008B2E49">
            <w:pPr>
              <w:ind w:left="709"/>
              <w:rPr>
                <w:rFonts w:ascii="Arial" w:hAnsi="Arial" w:cs="Arial"/>
                <w:bCs/>
                <w:color w:val="000000"/>
                <w:sz w:val="17"/>
                <w:szCs w:val="17"/>
              </w:rPr>
            </w:pPr>
            <w:r w:rsidRPr="00736A30">
              <w:rPr>
                <w:rFonts w:ascii="Arial" w:hAnsi="Arial" w:cs="Arial"/>
                <w:bCs/>
                <w:color w:val="000000"/>
                <w:sz w:val="17"/>
                <w:szCs w:val="17"/>
              </w:rPr>
              <w:t>Resultados del Ejercicio (Ahorro / Desahorro) 2015</w:t>
            </w:r>
          </w:p>
        </w:tc>
        <w:tc>
          <w:tcPr>
            <w:tcW w:w="3087" w:type="dxa"/>
            <w:tcBorders>
              <w:top w:val="nil"/>
              <w:left w:val="nil"/>
              <w:bottom w:val="single" w:sz="4" w:space="0" w:color="auto"/>
              <w:right w:val="single" w:sz="4" w:space="0" w:color="auto"/>
            </w:tcBorders>
            <w:shd w:val="clear" w:color="auto" w:fill="auto"/>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3,139,917,354 </w:t>
            </w:r>
          </w:p>
        </w:tc>
      </w:tr>
      <w:tr w:rsidR="008B2E49" w:rsidRPr="002D70DA" w:rsidTr="00791E59">
        <w:trPr>
          <w:trHeight w:val="24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8B2E49" w:rsidRPr="00736A30" w:rsidRDefault="008B2E49" w:rsidP="008B2E49">
            <w:pPr>
              <w:ind w:left="709"/>
              <w:rPr>
                <w:rFonts w:ascii="Arial" w:hAnsi="Arial" w:cs="Arial"/>
                <w:bCs/>
                <w:color w:val="000000"/>
                <w:sz w:val="17"/>
                <w:szCs w:val="17"/>
              </w:rPr>
            </w:pPr>
            <w:r>
              <w:rPr>
                <w:rFonts w:ascii="Arial" w:hAnsi="Arial" w:cs="Arial"/>
                <w:bCs/>
                <w:color w:val="000000"/>
                <w:sz w:val="17"/>
                <w:szCs w:val="17"/>
              </w:rPr>
              <w:t>Reconocimiento de Fideicomiso</w:t>
            </w:r>
          </w:p>
        </w:tc>
        <w:tc>
          <w:tcPr>
            <w:tcW w:w="3087" w:type="dxa"/>
            <w:tcBorders>
              <w:top w:val="nil"/>
              <w:left w:val="nil"/>
              <w:bottom w:val="single" w:sz="4" w:space="0" w:color="auto"/>
              <w:right w:val="single" w:sz="4" w:space="0" w:color="auto"/>
            </w:tcBorders>
            <w:shd w:val="clear" w:color="auto" w:fill="auto"/>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189,399,307 </w:t>
            </w:r>
          </w:p>
        </w:tc>
      </w:tr>
      <w:tr w:rsidR="008B2E49" w:rsidRPr="002D70DA" w:rsidTr="00791E59">
        <w:trPr>
          <w:trHeight w:val="281"/>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8B2E49" w:rsidRDefault="008B2E49" w:rsidP="008B2E49">
            <w:pPr>
              <w:ind w:left="709"/>
              <w:rPr>
                <w:rFonts w:ascii="Arial" w:hAnsi="Arial" w:cs="Arial"/>
                <w:bCs/>
                <w:color w:val="000000"/>
                <w:sz w:val="17"/>
                <w:szCs w:val="17"/>
              </w:rPr>
            </w:pPr>
            <w:r>
              <w:rPr>
                <w:rFonts w:ascii="Arial" w:hAnsi="Arial" w:cs="Arial"/>
                <w:bCs/>
                <w:color w:val="000000"/>
                <w:sz w:val="17"/>
                <w:szCs w:val="17"/>
              </w:rPr>
              <w:t xml:space="preserve">Reclasificación de Cuenta por Cobrar </w:t>
            </w:r>
          </w:p>
        </w:tc>
        <w:tc>
          <w:tcPr>
            <w:tcW w:w="3087" w:type="dxa"/>
            <w:tcBorders>
              <w:top w:val="nil"/>
              <w:left w:val="nil"/>
              <w:bottom w:val="single" w:sz="4" w:space="0" w:color="auto"/>
              <w:right w:val="single" w:sz="4" w:space="0" w:color="auto"/>
            </w:tcBorders>
            <w:shd w:val="clear" w:color="auto" w:fill="auto"/>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-238,421,435 </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Revalúos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b/>
                <w:sz w:val="17"/>
                <w:szCs w:val="17"/>
              </w:rPr>
            </w:pPr>
            <w:r w:rsidRPr="008B2E49">
              <w:rPr>
                <w:rFonts w:ascii="Arial" w:hAnsi="Arial" w:cs="Arial"/>
                <w:b/>
                <w:sz w:val="17"/>
                <w:szCs w:val="17"/>
              </w:rPr>
              <w:t xml:space="preserve">1,448,309,846 </w:t>
            </w: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1,448,272,856 </w:t>
            </w:r>
          </w:p>
        </w:tc>
      </w:tr>
      <w:tr w:rsidR="008B2E49" w:rsidRPr="002D70DA" w:rsidTr="00791E59">
        <w:trPr>
          <w:trHeight w:val="102"/>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36,990 </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b/>
                <w:sz w:val="17"/>
                <w:szCs w:val="17"/>
              </w:rPr>
            </w:pPr>
            <w:r w:rsidRPr="008B2E49">
              <w:rPr>
                <w:rFonts w:ascii="Arial" w:hAnsi="Arial" w:cs="Arial"/>
                <w:b/>
                <w:sz w:val="17"/>
                <w:szCs w:val="17"/>
              </w:rPr>
              <w:t xml:space="preserve">-2,242,197,565 </w:t>
            </w: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ind w:firstLineChars="100" w:firstLine="170"/>
              <w:rPr>
                <w:rFonts w:ascii="Arial" w:hAnsi="Arial" w:cs="Arial"/>
                <w:color w:val="000000"/>
                <w:sz w:val="17"/>
                <w:szCs w:val="17"/>
              </w:rPr>
            </w:pPr>
            <w:r>
              <w:rPr>
                <w:rFonts w:ascii="Arial" w:hAnsi="Arial" w:cs="Arial"/>
                <w:color w:val="000000"/>
                <w:sz w:val="17"/>
                <w:szCs w:val="17"/>
              </w:rPr>
              <w:t>Ajuste</w:t>
            </w:r>
            <w:r w:rsidR="008B2E49">
              <w:rPr>
                <w:rFonts w:ascii="Arial" w:hAnsi="Arial" w:cs="Arial"/>
                <w:color w:val="000000"/>
                <w:sz w:val="17"/>
                <w:szCs w:val="17"/>
              </w:rPr>
              <w:t xml:space="preserve"> por análisis de gasto</w:t>
            </w:r>
          </w:p>
        </w:tc>
        <w:tc>
          <w:tcPr>
            <w:tcW w:w="3087" w:type="dxa"/>
            <w:tcBorders>
              <w:top w:val="nil"/>
              <w:left w:val="nil"/>
              <w:bottom w:val="single" w:sz="4" w:space="0" w:color="auto"/>
              <w:right w:val="single" w:sz="4" w:space="0" w:color="auto"/>
            </w:tcBorders>
            <w:shd w:val="clear" w:color="auto" w:fill="auto"/>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-1,102,615,664 </w:t>
            </w:r>
          </w:p>
        </w:tc>
      </w:tr>
      <w:tr w:rsidR="008B2E49" w:rsidRPr="002D70DA" w:rsidTr="00791E59">
        <w:trPr>
          <w:trHeight w:val="268"/>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8B2E49" w:rsidRPr="002D70DA" w:rsidRDefault="008B2E49" w:rsidP="008B2E49">
            <w:pPr>
              <w:ind w:firstLineChars="100" w:firstLine="170"/>
              <w:rPr>
                <w:rFonts w:ascii="Arial" w:hAnsi="Arial" w:cs="Arial"/>
                <w:color w:val="000000"/>
                <w:sz w:val="17"/>
                <w:szCs w:val="17"/>
              </w:rPr>
            </w:pPr>
            <w:r w:rsidRPr="00B262C6">
              <w:rPr>
                <w:rFonts w:ascii="Arial" w:hAnsi="Arial" w:cs="Arial"/>
                <w:color w:val="000000"/>
                <w:sz w:val="17"/>
                <w:szCs w:val="17"/>
              </w:rPr>
              <w:t>Depuración de obras en proceso no capitalizable</w:t>
            </w:r>
          </w:p>
        </w:tc>
        <w:tc>
          <w:tcPr>
            <w:tcW w:w="3087" w:type="dxa"/>
            <w:tcBorders>
              <w:top w:val="nil"/>
              <w:left w:val="nil"/>
              <w:bottom w:val="single" w:sz="4" w:space="0" w:color="auto"/>
              <w:right w:val="single" w:sz="4" w:space="0" w:color="auto"/>
            </w:tcBorders>
            <w:shd w:val="clear" w:color="auto" w:fill="auto"/>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-865,342,700 </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8B2E49" w:rsidRPr="002D70DA" w:rsidRDefault="008B2E49" w:rsidP="008B2E49">
            <w:pPr>
              <w:ind w:firstLineChars="100" w:firstLine="170"/>
              <w:rPr>
                <w:rFonts w:ascii="Arial" w:hAnsi="Arial" w:cs="Arial"/>
                <w:color w:val="000000"/>
                <w:sz w:val="17"/>
                <w:szCs w:val="17"/>
              </w:rPr>
            </w:pPr>
            <w:r w:rsidRPr="00B262C6">
              <w:rPr>
                <w:rFonts w:ascii="Arial" w:hAnsi="Arial" w:cs="Arial"/>
                <w:color w:val="000000"/>
                <w:sz w:val="17"/>
                <w:szCs w:val="17"/>
              </w:rPr>
              <w:t>Movimientos del periodo</w:t>
            </w:r>
          </w:p>
        </w:tc>
        <w:tc>
          <w:tcPr>
            <w:tcW w:w="3087" w:type="dxa"/>
            <w:tcBorders>
              <w:top w:val="nil"/>
              <w:left w:val="nil"/>
              <w:bottom w:val="single" w:sz="4" w:space="0" w:color="auto"/>
              <w:right w:val="single" w:sz="4" w:space="0" w:color="auto"/>
            </w:tcBorders>
            <w:shd w:val="clear" w:color="auto" w:fill="auto"/>
          </w:tcPr>
          <w:p w:rsidR="008B2E49" w:rsidRPr="008B2E49" w:rsidRDefault="008B2E49" w:rsidP="008B2E49">
            <w:pPr>
              <w:jc w:val="right"/>
              <w:rPr>
                <w:rFonts w:ascii="Arial" w:hAnsi="Arial" w:cs="Arial"/>
                <w:sz w:val="17"/>
                <w:szCs w:val="17"/>
              </w:rPr>
            </w:pPr>
            <w:r w:rsidRPr="008B2E49">
              <w:rPr>
                <w:rFonts w:ascii="Arial" w:hAnsi="Arial" w:cs="Arial"/>
                <w:sz w:val="17"/>
                <w:szCs w:val="17"/>
              </w:rPr>
              <w:t xml:space="preserve">-274,239,201 </w:t>
            </w:r>
          </w:p>
        </w:tc>
      </w:tr>
    </w:tbl>
    <w:p w:rsidR="00791E59" w:rsidRDefault="00791E59" w:rsidP="0016437E">
      <w:pPr>
        <w:spacing w:before="80" w:line="250" w:lineRule="exact"/>
        <w:ind w:left="709"/>
        <w:jc w:val="both"/>
        <w:rPr>
          <w:rFonts w:ascii="Arial" w:eastAsia="Calibri" w:hAnsi="Arial" w:cs="Arial"/>
          <w:spacing w:val="-1"/>
          <w:sz w:val="17"/>
          <w:szCs w:val="17"/>
        </w:rPr>
      </w:pPr>
    </w:p>
    <w:p w:rsidR="0016437E" w:rsidRDefault="0016437E" w:rsidP="00791E59">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De la variación de resultados de ejercicios anteriores, destaca:</w:t>
      </w:r>
    </w:p>
    <w:p w:rsidR="0016437E" w:rsidRPr="0016437E" w:rsidRDefault="0016437E" w:rsidP="00603D16">
      <w:pPr>
        <w:pStyle w:val="Prrafodelista"/>
        <w:numPr>
          <w:ilvl w:val="0"/>
          <w:numId w:val="46"/>
        </w:numPr>
        <w:spacing w:before="80" w:line="250" w:lineRule="exact"/>
        <w:jc w:val="both"/>
        <w:rPr>
          <w:rFonts w:ascii="Arial" w:eastAsia="Calibri" w:hAnsi="Arial" w:cs="Arial"/>
          <w:spacing w:val="-1"/>
          <w:sz w:val="17"/>
          <w:szCs w:val="17"/>
        </w:rPr>
      </w:pPr>
      <w:r w:rsidRPr="0016437E">
        <w:rPr>
          <w:rFonts w:ascii="Arial" w:eastAsia="Calibri" w:hAnsi="Arial" w:cs="Arial"/>
          <w:spacing w:val="-1"/>
          <w:sz w:val="17"/>
          <w:szCs w:val="17"/>
        </w:rPr>
        <w:t xml:space="preserve">Que se reconoce el </w:t>
      </w:r>
      <w:r w:rsidR="00603D16" w:rsidRPr="00603D16">
        <w:rPr>
          <w:rFonts w:ascii="Arial" w:eastAsia="Calibri" w:hAnsi="Arial" w:cs="Arial"/>
          <w:spacing w:val="-1"/>
          <w:sz w:val="17"/>
          <w:szCs w:val="17"/>
        </w:rPr>
        <w:t xml:space="preserve">Fideicomiso de </w:t>
      </w:r>
      <w:r w:rsidR="00603D16">
        <w:rPr>
          <w:rFonts w:ascii="Arial" w:eastAsia="Calibri" w:hAnsi="Arial" w:cs="Arial"/>
          <w:spacing w:val="-1"/>
          <w:sz w:val="17"/>
          <w:szCs w:val="17"/>
        </w:rPr>
        <w:t>A</w:t>
      </w:r>
      <w:r w:rsidR="00603D16" w:rsidRPr="00603D16">
        <w:rPr>
          <w:rFonts w:ascii="Arial" w:eastAsia="Calibri" w:hAnsi="Arial" w:cs="Arial"/>
          <w:spacing w:val="-1"/>
          <w:sz w:val="17"/>
          <w:szCs w:val="17"/>
        </w:rPr>
        <w:t xml:space="preserve">poyo para la </w:t>
      </w:r>
      <w:r w:rsidR="00603D16">
        <w:rPr>
          <w:rFonts w:ascii="Arial" w:eastAsia="Calibri" w:hAnsi="Arial" w:cs="Arial"/>
          <w:spacing w:val="-1"/>
          <w:sz w:val="17"/>
          <w:szCs w:val="17"/>
        </w:rPr>
        <w:t>I</w:t>
      </w:r>
      <w:r w:rsidR="00603D16" w:rsidRPr="00603D16">
        <w:rPr>
          <w:rFonts w:ascii="Arial" w:eastAsia="Calibri" w:hAnsi="Arial" w:cs="Arial"/>
          <w:spacing w:val="-1"/>
          <w:sz w:val="17"/>
          <w:szCs w:val="17"/>
        </w:rPr>
        <w:t xml:space="preserve">mplementación de la </w:t>
      </w:r>
      <w:r w:rsidR="00603D16">
        <w:rPr>
          <w:rFonts w:ascii="Arial" w:eastAsia="Calibri" w:hAnsi="Arial" w:cs="Arial"/>
          <w:spacing w:val="-1"/>
          <w:sz w:val="17"/>
          <w:szCs w:val="17"/>
        </w:rPr>
        <w:t>R</w:t>
      </w:r>
      <w:r w:rsidR="00603D16" w:rsidRPr="00603D16">
        <w:rPr>
          <w:rFonts w:ascii="Arial" w:eastAsia="Calibri" w:hAnsi="Arial" w:cs="Arial"/>
          <w:spacing w:val="-1"/>
          <w:sz w:val="17"/>
          <w:szCs w:val="17"/>
        </w:rPr>
        <w:t xml:space="preserve">eforma al </w:t>
      </w:r>
      <w:r w:rsidR="00603D16">
        <w:rPr>
          <w:rFonts w:ascii="Arial" w:eastAsia="Calibri" w:hAnsi="Arial" w:cs="Arial"/>
          <w:spacing w:val="-1"/>
          <w:sz w:val="17"/>
          <w:szCs w:val="17"/>
        </w:rPr>
        <w:t>S</w:t>
      </w:r>
      <w:r w:rsidR="00603D16" w:rsidRPr="00603D16">
        <w:rPr>
          <w:rFonts w:ascii="Arial" w:eastAsia="Calibri" w:hAnsi="Arial" w:cs="Arial"/>
          <w:spacing w:val="-1"/>
          <w:sz w:val="17"/>
          <w:szCs w:val="17"/>
        </w:rPr>
        <w:t xml:space="preserve">istema de </w:t>
      </w:r>
      <w:r w:rsidR="00603D16">
        <w:rPr>
          <w:rFonts w:ascii="Arial" w:eastAsia="Calibri" w:hAnsi="Arial" w:cs="Arial"/>
          <w:spacing w:val="-1"/>
          <w:sz w:val="17"/>
          <w:szCs w:val="17"/>
        </w:rPr>
        <w:t>J</w:t>
      </w:r>
      <w:r w:rsidR="00603D16" w:rsidRPr="00603D16">
        <w:rPr>
          <w:rFonts w:ascii="Arial" w:eastAsia="Calibri" w:hAnsi="Arial" w:cs="Arial"/>
          <w:spacing w:val="-1"/>
          <w:sz w:val="17"/>
          <w:szCs w:val="17"/>
        </w:rPr>
        <w:t xml:space="preserve">usticia </w:t>
      </w:r>
      <w:r w:rsidR="00603D16">
        <w:rPr>
          <w:rFonts w:ascii="Arial" w:eastAsia="Calibri" w:hAnsi="Arial" w:cs="Arial"/>
          <w:spacing w:val="-1"/>
          <w:sz w:val="17"/>
          <w:szCs w:val="17"/>
        </w:rPr>
        <w:t>P</w:t>
      </w:r>
      <w:r w:rsidR="00603D16" w:rsidRPr="00603D16">
        <w:rPr>
          <w:rFonts w:ascii="Arial" w:eastAsia="Calibri" w:hAnsi="Arial" w:cs="Arial"/>
          <w:spacing w:val="-1"/>
          <w:sz w:val="17"/>
          <w:szCs w:val="17"/>
        </w:rPr>
        <w:t>enal en el Estado de Querétaro</w:t>
      </w:r>
      <w:r w:rsidRPr="0016437E">
        <w:rPr>
          <w:rFonts w:ascii="Arial" w:eastAsia="Calibri" w:hAnsi="Arial" w:cs="Arial"/>
          <w:spacing w:val="-1"/>
          <w:sz w:val="17"/>
          <w:szCs w:val="17"/>
        </w:rPr>
        <w:t xml:space="preserve"> por 189,399,307</w:t>
      </w:r>
    </w:p>
    <w:p w:rsidR="0016437E" w:rsidRDefault="00791E59" w:rsidP="00163875">
      <w:pPr>
        <w:pStyle w:val="Prrafodelista"/>
        <w:numPr>
          <w:ilvl w:val="0"/>
          <w:numId w:val="46"/>
        </w:numPr>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El ajuste</w:t>
      </w:r>
      <w:r w:rsidR="0016437E" w:rsidRPr="0016437E">
        <w:rPr>
          <w:rFonts w:ascii="Arial" w:eastAsia="Calibri" w:hAnsi="Arial" w:cs="Arial"/>
          <w:spacing w:val="-1"/>
          <w:sz w:val="17"/>
          <w:szCs w:val="17"/>
        </w:rPr>
        <w:t xml:space="preserve"> del registro que se tenía reflejado en la cuenta Otros Derechos a Recibir Efectivo o Equivalentes a Corto Plazo, por un importe de 238,421,435</w:t>
      </w:r>
      <w:r w:rsidR="00163875">
        <w:rPr>
          <w:rFonts w:ascii="Arial" w:eastAsia="Calibri" w:hAnsi="Arial" w:cs="Arial"/>
          <w:spacing w:val="-1"/>
          <w:sz w:val="17"/>
          <w:szCs w:val="17"/>
        </w:rPr>
        <w:t xml:space="preserve"> correspondiente al F</w:t>
      </w:r>
      <w:r w:rsidR="00163875" w:rsidRPr="00163875">
        <w:rPr>
          <w:rFonts w:ascii="Arial" w:eastAsia="Calibri" w:hAnsi="Arial" w:cs="Arial"/>
          <w:spacing w:val="-1"/>
          <w:sz w:val="17"/>
          <w:szCs w:val="17"/>
        </w:rPr>
        <w:t xml:space="preserve">ondo </w:t>
      </w:r>
      <w:r w:rsidR="00163875">
        <w:rPr>
          <w:rFonts w:ascii="Arial" w:eastAsia="Calibri" w:hAnsi="Arial" w:cs="Arial"/>
          <w:spacing w:val="-1"/>
          <w:sz w:val="17"/>
          <w:szCs w:val="17"/>
        </w:rPr>
        <w:t>M</w:t>
      </w:r>
      <w:r w:rsidR="00163875" w:rsidRPr="00163875">
        <w:rPr>
          <w:rFonts w:ascii="Arial" w:eastAsia="Calibri" w:hAnsi="Arial" w:cs="Arial"/>
          <w:spacing w:val="-1"/>
          <w:sz w:val="17"/>
          <w:szCs w:val="17"/>
        </w:rPr>
        <w:t xml:space="preserve">etropolitano </w:t>
      </w:r>
      <w:r w:rsidR="00163875">
        <w:rPr>
          <w:rFonts w:ascii="Arial" w:eastAsia="Calibri" w:hAnsi="Arial" w:cs="Arial"/>
          <w:spacing w:val="-1"/>
          <w:sz w:val="17"/>
          <w:szCs w:val="17"/>
        </w:rPr>
        <w:t>C</w:t>
      </w:r>
      <w:r w:rsidR="00163875" w:rsidRPr="00163875">
        <w:rPr>
          <w:rFonts w:ascii="Arial" w:eastAsia="Calibri" w:hAnsi="Arial" w:cs="Arial"/>
          <w:spacing w:val="-1"/>
          <w:sz w:val="17"/>
          <w:szCs w:val="17"/>
        </w:rPr>
        <w:t xml:space="preserve">iudad de </w:t>
      </w:r>
      <w:r w:rsidR="00163875">
        <w:rPr>
          <w:rFonts w:ascii="Arial" w:eastAsia="Calibri" w:hAnsi="Arial" w:cs="Arial"/>
          <w:spacing w:val="-1"/>
          <w:sz w:val="17"/>
          <w:szCs w:val="17"/>
        </w:rPr>
        <w:t>Q</w:t>
      </w:r>
      <w:r w:rsidR="00163875" w:rsidRPr="00163875">
        <w:rPr>
          <w:rFonts w:ascii="Arial" w:eastAsia="Calibri" w:hAnsi="Arial" w:cs="Arial"/>
          <w:spacing w:val="-1"/>
          <w:sz w:val="17"/>
          <w:szCs w:val="17"/>
        </w:rPr>
        <w:t>uerétaro</w:t>
      </w:r>
      <w:r w:rsidR="00163875">
        <w:rPr>
          <w:rFonts w:ascii="Arial" w:eastAsia="Calibri" w:hAnsi="Arial" w:cs="Arial"/>
          <w:spacing w:val="-1"/>
          <w:sz w:val="17"/>
          <w:szCs w:val="17"/>
        </w:rPr>
        <w:t>.</w:t>
      </w:r>
      <w:r w:rsidR="0016437E" w:rsidRPr="0016437E">
        <w:rPr>
          <w:rFonts w:ascii="Arial" w:eastAsia="Calibri" w:hAnsi="Arial" w:cs="Arial"/>
          <w:spacing w:val="-1"/>
          <w:sz w:val="17"/>
          <w:szCs w:val="17"/>
        </w:rPr>
        <w:t xml:space="preserve"> Al ser recurso de años anteriores se afecta esta cuenta.</w:t>
      </w:r>
    </w:p>
    <w:p w:rsidR="00276E6C" w:rsidRDefault="00276E6C" w:rsidP="00276E6C">
      <w:pPr>
        <w:spacing w:before="80" w:line="250" w:lineRule="exact"/>
        <w:ind w:left="709"/>
        <w:jc w:val="both"/>
        <w:rPr>
          <w:rFonts w:ascii="Arial" w:eastAsia="Calibri" w:hAnsi="Arial" w:cs="Arial"/>
          <w:spacing w:val="-1"/>
          <w:sz w:val="17"/>
          <w:szCs w:val="17"/>
        </w:rPr>
      </w:pPr>
    </w:p>
    <w:p w:rsidR="00CD1030" w:rsidRPr="00CD1030" w:rsidRDefault="00CD1030" w:rsidP="00276E6C">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En lo que respecta a revalúos</w:t>
      </w:r>
      <w:r w:rsidR="004A581E">
        <w:rPr>
          <w:rFonts w:ascii="Arial" w:eastAsia="Calibri" w:hAnsi="Arial" w:cs="Arial"/>
          <w:spacing w:val="-1"/>
          <w:sz w:val="17"/>
          <w:szCs w:val="17"/>
        </w:rPr>
        <w:t xml:space="preserve"> por 1,448,272,856; </w:t>
      </w:r>
      <w:r>
        <w:rPr>
          <w:rFonts w:ascii="Arial" w:eastAsia="Calibri" w:hAnsi="Arial" w:cs="Arial"/>
          <w:spacing w:val="-1"/>
          <w:sz w:val="17"/>
          <w:szCs w:val="17"/>
        </w:rPr>
        <w:t xml:space="preserve">se informa que 671,048,588 </w:t>
      </w:r>
      <w:r w:rsidR="004A581E">
        <w:rPr>
          <w:rFonts w:ascii="Arial" w:eastAsia="Calibri" w:hAnsi="Arial" w:cs="Arial"/>
          <w:spacing w:val="-1"/>
          <w:sz w:val="17"/>
          <w:szCs w:val="17"/>
        </w:rPr>
        <w:t>incrementaron</w:t>
      </w:r>
      <w:r>
        <w:rPr>
          <w:rFonts w:ascii="Arial" w:eastAsia="Calibri" w:hAnsi="Arial" w:cs="Arial"/>
          <w:spacing w:val="-1"/>
          <w:sz w:val="17"/>
          <w:szCs w:val="17"/>
        </w:rPr>
        <w:t xml:space="preserve"> el </w:t>
      </w:r>
      <w:r w:rsidR="00276E6C">
        <w:rPr>
          <w:rFonts w:ascii="Arial" w:eastAsia="Calibri" w:hAnsi="Arial" w:cs="Arial"/>
          <w:spacing w:val="-1"/>
          <w:sz w:val="17"/>
          <w:szCs w:val="17"/>
        </w:rPr>
        <w:t>valor de</w:t>
      </w:r>
      <w:r>
        <w:rPr>
          <w:rFonts w:ascii="Arial" w:eastAsia="Calibri" w:hAnsi="Arial" w:cs="Arial"/>
          <w:spacing w:val="-1"/>
          <w:sz w:val="17"/>
          <w:szCs w:val="17"/>
        </w:rPr>
        <w:t xml:space="preserve"> los bienes inmuebles y 777,224,268 incrementando el valor de otros </w:t>
      </w:r>
      <w:r w:rsidR="004A581E">
        <w:rPr>
          <w:rFonts w:ascii="Arial" w:eastAsia="Calibri" w:hAnsi="Arial" w:cs="Arial"/>
          <w:spacing w:val="-1"/>
          <w:sz w:val="17"/>
          <w:szCs w:val="17"/>
        </w:rPr>
        <w:t>activos.</w:t>
      </w:r>
    </w:p>
    <w:p w:rsidR="00007AAC" w:rsidRDefault="00276E6C" w:rsidP="0016437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r>
    </w:p>
    <w:p w:rsidR="0016437E" w:rsidRDefault="00CD1030" w:rsidP="0016437E">
      <w:pPr>
        <w:spacing w:before="80" w:line="250" w:lineRule="exact"/>
        <w:ind w:left="709"/>
        <w:jc w:val="both"/>
        <w:rPr>
          <w:rFonts w:ascii="Arial" w:eastAsia="Calibri" w:hAnsi="Arial" w:cs="Arial"/>
          <w:spacing w:val="-1"/>
          <w:sz w:val="17"/>
          <w:szCs w:val="17"/>
        </w:rPr>
      </w:pPr>
      <w:r w:rsidRPr="00276E6C">
        <w:rPr>
          <w:rFonts w:ascii="Arial" w:eastAsia="Calibri" w:hAnsi="Arial" w:cs="Arial"/>
          <w:spacing w:val="-1"/>
          <w:sz w:val="17"/>
          <w:szCs w:val="17"/>
        </w:rPr>
        <w:t xml:space="preserve">Por otra parte, en la cuenta </w:t>
      </w:r>
      <w:r w:rsidR="00A003D4" w:rsidRPr="00276E6C">
        <w:rPr>
          <w:rFonts w:ascii="Arial" w:eastAsia="Calibri" w:hAnsi="Arial" w:cs="Arial"/>
          <w:spacing w:val="-1"/>
          <w:sz w:val="17"/>
          <w:szCs w:val="17"/>
        </w:rPr>
        <w:t>rectificación de resultados de ejercicios anteriores, destaca:</w:t>
      </w:r>
    </w:p>
    <w:p w:rsidR="00276E6C" w:rsidRDefault="00276E6C" w:rsidP="00276E6C">
      <w:pPr>
        <w:spacing w:before="80" w:line="250" w:lineRule="exact"/>
        <w:ind w:left="709"/>
        <w:jc w:val="both"/>
        <w:rPr>
          <w:rFonts w:ascii="Arial" w:eastAsia="Calibri" w:hAnsi="Arial" w:cs="Arial"/>
          <w:spacing w:val="-1"/>
          <w:sz w:val="17"/>
          <w:szCs w:val="17"/>
        </w:rPr>
      </w:pPr>
    </w:p>
    <w:p w:rsidR="00276E6C" w:rsidRPr="00276E6C" w:rsidRDefault="00276E6C" w:rsidP="00276E6C">
      <w:pPr>
        <w:pStyle w:val="Prrafodelista"/>
        <w:numPr>
          <w:ilvl w:val="0"/>
          <w:numId w:val="20"/>
        </w:numPr>
        <w:spacing w:before="80" w:line="250" w:lineRule="exact"/>
        <w:ind w:left="1429" w:hanging="357"/>
        <w:jc w:val="both"/>
        <w:rPr>
          <w:rFonts w:ascii="Arial" w:eastAsia="Calibri" w:hAnsi="Arial" w:cs="Arial"/>
          <w:spacing w:val="-1"/>
          <w:sz w:val="17"/>
          <w:szCs w:val="17"/>
        </w:rPr>
      </w:pPr>
      <w:r w:rsidRPr="00276E6C">
        <w:rPr>
          <w:rFonts w:ascii="Arial" w:eastAsia="Calibri" w:hAnsi="Arial" w:cs="Arial"/>
          <w:spacing w:val="-1"/>
          <w:sz w:val="17"/>
          <w:szCs w:val="17"/>
        </w:rPr>
        <w:t>La reducción realizada en el ejercicio 2016 por un importe de 1,967,958,364, integrándose ésta por 865,342,700 correspondiendo a la depuración de obras en proceso</w:t>
      </w:r>
      <w:r w:rsidRPr="00276E6C">
        <w:rPr>
          <w:rFonts w:ascii="Arial" w:hAnsi="Arial" w:cs="Arial"/>
          <w:sz w:val="17"/>
          <w:szCs w:val="17"/>
        </w:rPr>
        <w:t xml:space="preserve"> no capitalizables registradas y concluidas en ejercicios anteriores y que en su momento no fueron llevadas al gasto del ejercicio respectivo; por otra parte, se contempla la reducción por </w:t>
      </w:r>
      <w:r w:rsidRPr="00276E6C">
        <w:rPr>
          <w:rFonts w:ascii="Arial" w:eastAsia="Calibri" w:hAnsi="Arial" w:cs="Arial"/>
          <w:spacing w:val="-1"/>
          <w:sz w:val="17"/>
          <w:szCs w:val="17"/>
        </w:rPr>
        <w:t>1,102,615,664 derivado del análisis efectuado en conjunto con la auditoría externa, derivado principalmente de gasto de operación de ejercicios anteriores  que en su momento fue registrado como activo fijo, se reproduce el señalamiento del auditor externo:</w:t>
      </w:r>
    </w:p>
    <w:p w:rsidR="00276E6C" w:rsidRPr="009327EB" w:rsidRDefault="00276E6C" w:rsidP="00276E6C">
      <w:pPr>
        <w:spacing w:before="80" w:line="250" w:lineRule="exact"/>
        <w:ind w:left="1134" w:right="814"/>
        <w:jc w:val="both"/>
        <w:rPr>
          <w:rFonts w:ascii="Arial" w:eastAsia="Calibri" w:hAnsi="Arial" w:cs="Arial"/>
          <w:i/>
          <w:spacing w:val="-1"/>
          <w:sz w:val="16"/>
          <w:szCs w:val="16"/>
        </w:rPr>
      </w:pPr>
      <w:r w:rsidRPr="009327EB">
        <w:rPr>
          <w:rFonts w:ascii="Arial" w:eastAsia="Calibri" w:hAnsi="Arial" w:cs="Arial"/>
          <w:i/>
          <w:spacing w:val="-1"/>
          <w:sz w:val="16"/>
          <w:szCs w:val="16"/>
        </w:rPr>
        <w:lastRenderedPageBreak/>
        <w:t>“Con posterioridad al cierre del ejercicio se concluyó un análisis del saldo del rubro “Bienes Inmuebles, Infraestructura y Construcciones en Proceso”, en específico las cuentas 12350 Construcciones en proceso en bienes de dominio público y 12360 Construcciones en proceso en bienes propios, que se presenta en el estado de situación financiera al 31 de diciembre de 2015 y se identificó que en dichas cuentas se registraron erogaciones que no corresponden a obras en proceso y que deberían haberse registrado en el estado de actividades por 1,102,615,664, con una consecuente disminución al saldo de “Hacienda Pública Generada”, dichos efectos fueron registrados en octubre de 20</w:t>
      </w:r>
      <w:r>
        <w:rPr>
          <w:rFonts w:ascii="Arial" w:eastAsia="Calibri" w:hAnsi="Arial" w:cs="Arial"/>
          <w:i/>
          <w:spacing w:val="-1"/>
          <w:sz w:val="16"/>
          <w:szCs w:val="16"/>
        </w:rPr>
        <w:t>1</w:t>
      </w:r>
      <w:r w:rsidRPr="009327EB">
        <w:rPr>
          <w:rFonts w:ascii="Arial" w:eastAsia="Calibri" w:hAnsi="Arial" w:cs="Arial"/>
          <w:i/>
          <w:spacing w:val="-1"/>
          <w:sz w:val="16"/>
          <w:szCs w:val="16"/>
        </w:rPr>
        <w:t>6.”</w:t>
      </w:r>
    </w:p>
    <w:p w:rsidR="00DF52F4" w:rsidRDefault="00DF52F4" w:rsidP="00DF52F4">
      <w:pPr>
        <w:pStyle w:val="Prrafodelista"/>
        <w:spacing w:before="80" w:line="250" w:lineRule="exact"/>
        <w:jc w:val="both"/>
        <w:rPr>
          <w:rFonts w:ascii="Arial" w:eastAsia="Calibri" w:hAnsi="Arial" w:cs="Arial"/>
          <w:spacing w:val="-1"/>
          <w:sz w:val="17"/>
          <w:szCs w:val="17"/>
        </w:rPr>
      </w:pPr>
    </w:p>
    <w:p w:rsidR="005B455F" w:rsidRPr="00B86C5B" w:rsidRDefault="005B455F" w:rsidP="00D93E36">
      <w:pPr>
        <w:pStyle w:val="Prrafodelista"/>
        <w:numPr>
          <w:ilvl w:val="0"/>
          <w:numId w:val="20"/>
        </w:numPr>
        <w:spacing w:before="80" w:line="250" w:lineRule="exact"/>
        <w:ind w:left="1429" w:hanging="357"/>
        <w:jc w:val="both"/>
        <w:rPr>
          <w:rFonts w:ascii="Arial" w:eastAsia="Calibri" w:hAnsi="Arial" w:cs="Arial"/>
          <w:spacing w:val="-1"/>
          <w:sz w:val="17"/>
          <w:szCs w:val="17"/>
        </w:rPr>
      </w:pPr>
      <w:r w:rsidRPr="00B86C5B">
        <w:rPr>
          <w:rFonts w:ascii="Arial" w:eastAsia="Calibri" w:hAnsi="Arial" w:cs="Arial"/>
          <w:spacing w:val="-1"/>
          <w:sz w:val="17"/>
          <w:szCs w:val="17"/>
        </w:rPr>
        <w:t xml:space="preserve">Se informa de los movimientos </w:t>
      </w:r>
      <w:r w:rsidR="00C8767B" w:rsidRPr="00B86C5B">
        <w:rPr>
          <w:rFonts w:ascii="Arial" w:eastAsia="Calibri" w:hAnsi="Arial" w:cs="Arial"/>
          <w:spacing w:val="-1"/>
          <w:sz w:val="17"/>
          <w:szCs w:val="17"/>
        </w:rPr>
        <w:t>del periodo correspondiente a la cuenta de Ajuste a Rectifica</w:t>
      </w:r>
      <w:r w:rsidR="00DF52F4" w:rsidRPr="00B86C5B">
        <w:rPr>
          <w:rFonts w:ascii="Arial" w:eastAsia="Calibri" w:hAnsi="Arial" w:cs="Arial"/>
          <w:spacing w:val="-1"/>
          <w:sz w:val="17"/>
          <w:szCs w:val="17"/>
        </w:rPr>
        <w:t xml:space="preserve">ciones de Ejercicios Anteriores por un importe de </w:t>
      </w:r>
      <w:r w:rsidR="00B86C5B" w:rsidRPr="00B86C5B">
        <w:rPr>
          <w:rFonts w:ascii="Arial" w:hAnsi="Arial" w:cs="Arial"/>
          <w:sz w:val="17"/>
          <w:szCs w:val="17"/>
        </w:rPr>
        <w:t>274,239,201, derivado principalmente por reintegros a la Tesorería de la Federación.</w:t>
      </w:r>
    </w:p>
    <w:p w:rsidR="00D2321B" w:rsidRPr="002D70DA" w:rsidRDefault="00D2321B" w:rsidP="00D2321B">
      <w:pPr>
        <w:autoSpaceDE w:val="0"/>
        <w:autoSpaceDN w:val="0"/>
        <w:adjustRightInd w:val="0"/>
        <w:spacing w:before="240" w:after="120"/>
        <w:jc w:val="center"/>
        <w:rPr>
          <w:rFonts w:ascii="Arial" w:eastAsia="Calibri" w:hAnsi="Arial" w:cs="Arial"/>
          <w:b/>
          <w:spacing w:val="-1"/>
          <w:sz w:val="17"/>
          <w:szCs w:val="17"/>
        </w:rPr>
      </w:pPr>
    </w:p>
    <w:p w:rsidR="00D2321B" w:rsidRDefault="00D2321B" w:rsidP="00D2321B">
      <w:pPr>
        <w:spacing w:before="80" w:line="250" w:lineRule="exact"/>
        <w:ind w:left="1069"/>
        <w:jc w:val="both"/>
        <w:rPr>
          <w:rFonts w:ascii="Arial" w:eastAsia="Calibri" w:hAnsi="Arial" w:cs="Arial"/>
          <w:spacing w:val="-1"/>
          <w:sz w:val="17"/>
          <w:szCs w:val="17"/>
        </w:rPr>
      </w:pPr>
    </w:p>
    <w:p w:rsidR="00B86C5B" w:rsidRDefault="00B86C5B">
      <w:pPr>
        <w:rPr>
          <w:rFonts w:ascii="Arial" w:eastAsia="Calibri" w:hAnsi="Arial" w:cs="Arial"/>
          <w:spacing w:val="-1"/>
          <w:sz w:val="17"/>
          <w:szCs w:val="17"/>
        </w:rPr>
      </w:pPr>
      <w:r>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E72587" w:rsidP="00C91571">
            <w:pPr>
              <w:jc w:val="center"/>
              <w:rPr>
                <w:rFonts w:ascii="Arial" w:hAnsi="Arial" w:cs="Arial"/>
                <w:b/>
                <w:bCs/>
                <w:color w:val="000000"/>
                <w:sz w:val="17"/>
                <w:szCs w:val="17"/>
              </w:rPr>
            </w:pPr>
            <w:r w:rsidRPr="002D70DA">
              <w:rPr>
                <w:rFonts w:ascii="Arial" w:hAnsi="Arial" w:cs="Arial"/>
                <w:b/>
                <w:bCs/>
                <w:color w:val="000000"/>
                <w:sz w:val="17"/>
                <w:szCs w:val="17"/>
              </w:rPr>
              <w:t>201</w:t>
            </w:r>
            <w:r w:rsidR="00C91571">
              <w:rPr>
                <w:rFonts w:ascii="Arial" w:hAnsi="Arial" w:cs="Arial"/>
                <w:b/>
                <w:bCs/>
                <w:color w:val="000000"/>
                <w:sz w:val="17"/>
                <w:szCs w:val="17"/>
              </w:rPr>
              <w:t>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E72587" w:rsidP="00C91571">
            <w:pPr>
              <w:jc w:val="center"/>
              <w:rPr>
                <w:rFonts w:ascii="Arial" w:hAnsi="Arial" w:cs="Arial"/>
                <w:b/>
                <w:bCs/>
                <w:color w:val="000000"/>
                <w:sz w:val="17"/>
                <w:szCs w:val="17"/>
              </w:rPr>
            </w:pPr>
            <w:r w:rsidRPr="002D70DA">
              <w:rPr>
                <w:rFonts w:ascii="Arial" w:hAnsi="Arial" w:cs="Arial"/>
                <w:b/>
                <w:bCs/>
                <w:color w:val="000000"/>
                <w:sz w:val="17"/>
                <w:szCs w:val="17"/>
              </w:rPr>
              <w:t>201</w:t>
            </w:r>
            <w:r w:rsidR="00C91571">
              <w:rPr>
                <w:rFonts w:ascii="Arial" w:hAnsi="Arial" w:cs="Arial"/>
                <w:b/>
                <w:bCs/>
                <w:color w:val="000000"/>
                <w:sz w:val="17"/>
                <w:szCs w:val="17"/>
              </w:rPr>
              <w:t>5</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5D47A8" w:rsidRPr="005D47A8" w:rsidRDefault="006C44EF" w:rsidP="005D47A8">
            <w:pPr>
              <w:jc w:val="right"/>
              <w:rPr>
                <w:rFonts w:ascii="Arial" w:hAnsi="Arial" w:cs="Arial"/>
                <w:bCs/>
                <w:color w:val="000000"/>
                <w:sz w:val="17"/>
                <w:szCs w:val="17"/>
              </w:rPr>
            </w:pPr>
            <w:r w:rsidRPr="006C44EF">
              <w:rPr>
                <w:rFonts w:ascii="Arial" w:hAnsi="Arial" w:cs="Arial"/>
                <w:bCs/>
                <w:color w:val="000000"/>
                <w:sz w:val="17"/>
                <w:szCs w:val="17"/>
              </w:rPr>
              <w:t>2,320,536.70</w:t>
            </w:r>
          </w:p>
        </w:tc>
        <w:tc>
          <w:tcPr>
            <w:tcW w:w="2180" w:type="dxa"/>
            <w:tcBorders>
              <w:top w:val="nil"/>
              <w:left w:val="nil"/>
              <w:bottom w:val="single" w:sz="4" w:space="0" w:color="auto"/>
              <w:right w:val="single" w:sz="4" w:space="0" w:color="auto"/>
            </w:tcBorders>
            <w:shd w:val="clear" w:color="000000" w:fill="FFFFFF"/>
          </w:tcPr>
          <w:p w:rsidR="005D47A8" w:rsidRPr="005D47A8" w:rsidRDefault="005D47A8" w:rsidP="005D47A8">
            <w:pPr>
              <w:jc w:val="right"/>
              <w:rPr>
                <w:rFonts w:ascii="Arial" w:hAnsi="Arial" w:cs="Arial"/>
                <w:bCs/>
                <w:color w:val="000000"/>
                <w:sz w:val="17"/>
                <w:szCs w:val="17"/>
              </w:rPr>
            </w:pPr>
            <w:r w:rsidRPr="005D47A8">
              <w:rPr>
                <w:rFonts w:ascii="Arial" w:hAnsi="Arial" w:cs="Arial"/>
                <w:bCs/>
                <w:color w:val="000000"/>
                <w:sz w:val="17"/>
                <w:szCs w:val="17"/>
              </w:rPr>
              <w:t>2,239,499.50</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5D47A8" w:rsidRPr="005D47A8" w:rsidRDefault="006C44EF" w:rsidP="005D47A8">
            <w:pPr>
              <w:jc w:val="right"/>
              <w:rPr>
                <w:rFonts w:ascii="Arial" w:hAnsi="Arial" w:cs="Arial"/>
                <w:bCs/>
                <w:color w:val="000000"/>
                <w:sz w:val="17"/>
                <w:szCs w:val="17"/>
              </w:rPr>
            </w:pPr>
            <w:r w:rsidRPr="006C44EF">
              <w:rPr>
                <w:rFonts w:ascii="Arial" w:hAnsi="Arial" w:cs="Arial"/>
                <w:bCs/>
                <w:color w:val="000000"/>
                <w:sz w:val="17"/>
                <w:szCs w:val="17"/>
              </w:rPr>
              <w:t>3,788,216,395.01</w:t>
            </w:r>
          </w:p>
        </w:tc>
        <w:tc>
          <w:tcPr>
            <w:tcW w:w="2180" w:type="dxa"/>
            <w:tcBorders>
              <w:top w:val="nil"/>
              <w:left w:val="nil"/>
              <w:bottom w:val="single" w:sz="4" w:space="0" w:color="auto"/>
              <w:right w:val="single" w:sz="4" w:space="0" w:color="auto"/>
            </w:tcBorders>
            <w:shd w:val="clear" w:color="000000" w:fill="FFFFFF"/>
          </w:tcPr>
          <w:p w:rsidR="005D47A8" w:rsidRPr="005D47A8" w:rsidRDefault="005D47A8" w:rsidP="005D47A8">
            <w:pPr>
              <w:jc w:val="right"/>
              <w:rPr>
                <w:rFonts w:ascii="Arial" w:hAnsi="Arial" w:cs="Arial"/>
                <w:bCs/>
                <w:color w:val="000000"/>
                <w:sz w:val="17"/>
                <w:szCs w:val="17"/>
              </w:rPr>
            </w:pPr>
            <w:r w:rsidRPr="005D47A8">
              <w:rPr>
                <w:rFonts w:ascii="Arial" w:hAnsi="Arial" w:cs="Arial"/>
                <w:bCs/>
                <w:color w:val="000000"/>
                <w:sz w:val="17"/>
                <w:szCs w:val="17"/>
              </w:rPr>
              <w:t>1,914,908,212.47</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5D47A8" w:rsidRPr="005D47A8" w:rsidRDefault="006C44EF" w:rsidP="005D47A8">
            <w:pPr>
              <w:jc w:val="right"/>
              <w:rPr>
                <w:rFonts w:ascii="Arial" w:hAnsi="Arial" w:cs="Arial"/>
                <w:bCs/>
                <w:color w:val="000000"/>
                <w:sz w:val="17"/>
                <w:szCs w:val="17"/>
              </w:rPr>
            </w:pPr>
            <w:r w:rsidRPr="006C44EF">
              <w:rPr>
                <w:rFonts w:ascii="Arial" w:hAnsi="Arial" w:cs="Arial"/>
                <w:bCs/>
                <w:color w:val="000000"/>
                <w:sz w:val="17"/>
                <w:szCs w:val="17"/>
              </w:rPr>
              <w:t>56,508,691.37</w:t>
            </w:r>
          </w:p>
        </w:tc>
        <w:tc>
          <w:tcPr>
            <w:tcW w:w="2180" w:type="dxa"/>
            <w:tcBorders>
              <w:top w:val="nil"/>
              <w:left w:val="nil"/>
              <w:bottom w:val="single" w:sz="4" w:space="0" w:color="auto"/>
              <w:right w:val="single" w:sz="4" w:space="0" w:color="auto"/>
            </w:tcBorders>
            <w:shd w:val="clear" w:color="000000" w:fill="FFFFFF"/>
          </w:tcPr>
          <w:p w:rsidR="005D47A8" w:rsidRPr="005D47A8" w:rsidRDefault="005D47A8" w:rsidP="005D47A8">
            <w:pPr>
              <w:jc w:val="right"/>
              <w:rPr>
                <w:rFonts w:ascii="Arial" w:hAnsi="Arial" w:cs="Arial"/>
                <w:bCs/>
                <w:color w:val="000000"/>
                <w:sz w:val="17"/>
                <w:szCs w:val="17"/>
              </w:rPr>
            </w:pPr>
            <w:r w:rsidRPr="005D47A8">
              <w:rPr>
                <w:rFonts w:ascii="Arial" w:hAnsi="Arial" w:cs="Arial"/>
                <w:bCs/>
                <w:color w:val="000000"/>
                <w:sz w:val="17"/>
                <w:szCs w:val="17"/>
              </w:rPr>
              <w:t>113,450,631.51</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5D47A8" w:rsidRPr="005D47A8" w:rsidRDefault="008950F1" w:rsidP="005D47A8">
            <w:pPr>
              <w:jc w:val="right"/>
              <w:rPr>
                <w:rFonts w:ascii="Arial" w:hAnsi="Arial" w:cs="Arial"/>
                <w:bCs/>
                <w:color w:val="000000"/>
                <w:sz w:val="17"/>
                <w:szCs w:val="17"/>
              </w:rPr>
            </w:pPr>
            <w:r w:rsidRPr="008950F1">
              <w:rPr>
                <w:rFonts w:ascii="Arial" w:hAnsi="Arial" w:cs="Arial"/>
                <w:bCs/>
                <w:color w:val="000000"/>
                <w:sz w:val="17"/>
                <w:szCs w:val="17"/>
              </w:rPr>
              <w:t>2,238,050,405.93</w:t>
            </w:r>
          </w:p>
        </w:tc>
        <w:tc>
          <w:tcPr>
            <w:tcW w:w="2180" w:type="dxa"/>
            <w:tcBorders>
              <w:top w:val="nil"/>
              <w:left w:val="nil"/>
              <w:bottom w:val="single" w:sz="4" w:space="0" w:color="auto"/>
              <w:right w:val="single" w:sz="4" w:space="0" w:color="auto"/>
            </w:tcBorders>
            <w:shd w:val="clear" w:color="000000" w:fill="FFFFFF"/>
          </w:tcPr>
          <w:p w:rsidR="005D47A8" w:rsidRPr="005D47A8" w:rsidRDefault="005D47A8" w:rsidP="005D47A8">
            <w:pPr>
              <w:jc w:val="right"/>
              <w:rPr>
                <w:rFonts w:ascii="Arial" w:hAnsi="Arial" w:cs="Arial"/>
                <w:bCs/>
                <w:color w:val="000000"/>
                <w:sz w:val="17"/>
                <w:szCs w:val="17"/>
              </w:rPr>
            </w:pPr>
            <w:r w:rsidRPr="005D47A8">
              <w:rPr>
                <w:rFonts w:ascii="Arial" w:hAnsi="Arial" w:cs="Arial"/>
                <w:bCs/>
                <w:color w:val="000000"/>
                <w:sz w:val="17"/>
                <w:szCs w:val="17"/>
              </w:rPr>
              <w:t>1,012,743,611.60</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5D47A8" w:rsidRPr="00831A1B" w:rsidRDefault="005D47A8" w:rsidP="005D47A8">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5D47A8" w:rsidRPr="005D47A8" w:rsidRDefault="005D47A8" w:rsidP="005D47A8">
            <w:pPr>
              <w:jc w:val="right"/>
              <w:rPr>
                <w:rFonts w:ascii="Arial" w:hAnsi="Arial" w:cs="Arial"/>
                <w:bCs/>
                <w:color w:val="000000"/>
                <w:sz w:val="17"/>
                <w:szCs w:val="17"/>
              </w:rPr>
            </w:pPr>
            <w:r w:rsidRPr="005D47A8">
              <w:rPr>
                <w:rFonts w:ascii="Arial" w:hAnsi="Arial" w:cs="Arial"/>
                <w:bCs/>
                <w:color w:val="000000"/>
                <w:sz w:val="17"/>
                <w:szCs w:val="17"/>
              </w:rPr>
              <w:t>0.00</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5D47A8" w:rsidRPr="00831A1B" w:rsidRDefault="008950F1" w:rsidP="005D47A8">
            <w:pPr>
              <w:jc w:val="right"/>
              <w:rPr>
                <w:rFonts w:ascii="Arial" w:hAnsi="Arial" w:cs="Arial"/>
                <w:bCs/>
                <w:color w:val="000000"/>
                <w:sz w:val="17"/>
                <w:szCs w:val="17"/>
              </w:rPr>
            </w:pPr>
            <w:r w:rsidRPr="008950F1">
              <w:rPr>
                <w:rFonts w:ascii="Arial" w:hAnsi="Arial" w:cs="Arial"/>
                <w:bCs/>
                <w:color w:val="000000"/>
                <w:sz w:val="17"/>
                <w:szCs w:val="17"/>
              </w:rPr>
              <w:t>67,500.00</w:t>
            </w:r>
          </w:p>
        </w:tc>
        <w:tc>
          <w:tcPr>
            <w:tcW w:w="2180" w:type="dxa"/>
            <w:tcBorders>
              <w:top w:val="nil"/>
              <w:left w:val="nil"/>
              <w:bottom w:val="single" w:sz="4" w:space="0" w:color="auto"/>
              <w:right w:val="single" w:sz="4" w:space="0" w:color="auto"/>
            </w:tcBorders>
            <w:shd w:val="clear" w:color="000000" w:fill="FFFFFF"/>
          </w:tcPr>
          <w:p w:rsidR="005D47A8" w:rsidRPr="005D47A8" w:rsidRDefault="005D47A8" w:rsidP="005D47A8">
            <w:pPr>
              <w:jc w:val="right"/>
              <w:rPr>
                <w:rFonts w:ascii="Arial" w:hAnsi="Arial" w:cs="Arial"/>
                <w:bCs/>
                <w:color w:val="000000"/>
                <w:sz w:val="17"/>
                <w:szCs w:val="17"/>
              </w:rPr>
            </w:pPr>
            <w:r w:rsidRPr="005D47A8">
              <w:rPr>
                <w:rFonts w:ascii="Arial" w:hAnsi="Arial" w:cs="Arial"/>
                <w:bCs/>
                <w:color w:val="000000"/>
                <w:sz w:val="17"/>
                <w:szCs w:val="17"/>
              </w:rPr>
              <w:t>667,500.00</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5D47A8" w:rsidRPr="00831A1B" w:rsidRDefault="008950F1" w:rsidP="005D47A8">
            <w:pPr>
              <w:jc w:val="right"/>
              <w:rPr>
                <w:rFonts w:ascii="Arial" w:hAnsi="Arial" w:cs="Arial"/>
                <w:bCs/>
                <w:color w:val="000000"/>
                <w:sz w:val="17"/>
                <w:szCs w:val="17"/>
              </w:rPr>
            </w:pPr>
            <w:r w:rsidRPr="008950F1">
              <w:rPr>
                <w:rFonts w:ascii="Arial" w:hAnsi="Arial" w:cs="Arial"/>
                <w:bCs/>
                <w:color w:val="000000"/>
                <w:sz w:val="17"/>
                <w:szCs w:val="17"/>
              </w:rPr>
              <w:t>21,856,661.89</w:t>
            </w:r>
          </w:p>
        </w:tc>
        <w:tc>
          <w:tcPr>
            <w:tcW w:w="2180" w:type="dxa"/>
            <w:tcBorders>
              <w:top w:val="nil"/>
              <w:left w:val="nil"/>
              <w:bottom w:val="single" w:sz="4" w:space="0" w:color="auto"/>
              <w:right w:val="single" w:sz="4" w:space="0" w:color="auto"/>
            </w:tcBorders>
            <w:shd w:val="clear" w:color="000000" w:fill="FFFFFF"/>
          </w:tcPr>
          <w:p w:rsidR="005D47A8" w:rsidRPr="005D47A8" w:rsidRDefault="005D47A8" w:rsidP="005D47A8">
            <w:pPr>
              <w:jc w:val="right"/>
              <w:rPr>
                <w:rFonts w:ascii="Arial" w:hAnsi="Arial" w:cs="Arial"/>
                <w:bCs/>
                <w:color w:val="000000"/>
                <w:sz w:val="17"/>
                <w:szCs w:val="17"/>
              </w:rPr>
            </w:pPr>
            <w:r w:rsidRPr="005D47A8">
              <w:rPr>
                <w:rFonts w:ascii="Arial" w:hAnsi="Arial" w:cs="Arial"/>
                <w:bCs/>
                <w:color w:val="000000"/>
                <w:sz w:val="17"/>
                <w:szCs w:val="17"/>
              </w:rPr>
              <w:t>19,946,793.08</w:t>
            </w:r>
          </w:p>
        </w:tc>
      </w:tr>
      <w:tr w:rsidR="005D47A8"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D47A8" w:rsidRPr="002D70DA" w:rsidRDefault="005D47A8" w:rsidP="005D47A8">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5D47A8" w:rsidRPr="002D70DA" w:rsidRDefault="008950F1" w:rsidP="005D47A8">
            <w:pPr>
              <w:jc w:val="right"/>
              <w:rPr>
                <w:rFonts w:ascii="Arial" w:hAnsi="Arial" w:cs="Arial"/>
                <w:b/>
                <w:bCs/>
                <w:color w:val="000000"/>
                <w:sz w:val="17"/>
                <w:szCs w:val="17"/>
              </w:rPr>
            </w:pPr>
            <w:r w:rsidRPr="008950F1">
              <w:rPr>
                <w:rFonts w:ascii="Arial" w:hAnsi="Arial" w:cs="Arial"/>
                <w:b/>
                <w:bCs/>
                <w:color w:val="000000"/>
                <w:sz w:val="17"/>
                <w:szCs w:val="17"/>
                <w14:numForm w14:val="lining"/>
              </w:rPr>
              <w:t>6,107,020,190.90</w:t>
            </w:r>
          </w:p>
        </w:tc>
        <w:tc>
          <w:tcPr>
            <w:tcW w:w="2180" w:type="dxa"/>
            <w:tcBorders>
              <w:top w:val="nil"/>
              <w:left w:val="nil"/>
              <w:bottom w:val="single" w:sz="4" w:space="0" w:color="auto"/>
              <w:right w:val="single" w:sz="4" w:space="0" w:color="auto"/>
            </w:tcBorders>
            <w:shd w:val="clear" w:color="000000" w:fill="FFFFFF"/>
            <w:hideMark/>
          </w:tcPr>
          <w:p w:rsidR="005D47A8" w:rsidRPr="005D47A8" w:rsidRDefault="005D47A8" w:rsidP="005D47A8">
            <w:pPr>
              <w:jc w:val="right"/>
              <w:rPr>
                <w:rFonts w:ascii="Arial" w:hAnsi="Arial" w:cs="Arial"/>
                <w:bCs/>
                <w:color w:val="000000"/>
                <w:sz w:val="17"/>
                <w:szCs w:val="17"/>
              </w:rPr>
            </w:pPr>
            <w:r w:rsidRPr="005D47A8">
              <w:rPr>
                <w:rFonts w:ascii="Arial" w:hAnsi="Arial" w:cs="Arial"/>
                <w:b/>
                <w:bCs/>
                <w:noProof/>
                <w:color w:val="000000"/>
                <w:sz w:val="17"/>
                <w:szCs w:val="17"/>
                <w14:numForm w14:val="lining"/>
              </w:rPr>
              <w:t>3,063,956,248.16</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p>
    <w:p w:rsidR="00831A1B" w:rsidRPr="002D70DA" w:rsidRDefault="00EF591E" w:rsidP="006B32C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6B32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F591E" w:rsidRPr="002D70DA" w:rsidRDefault="00EF591E" w:rsidP="002342BD">
            <w:pPr>
              <w:jc w:val="center"/>
              <w:rPr>
                <w:rFonts w:ascii="Arial" w:hAnsi="Arial" w:cs="Arial"/>
                <w:b/>
                <w:bCs/>
                <w:color w:val="000000"/>
                <w:sz w:val="17"/>
                <w:szCs w:val="17"/>
              </w:rPr>
            </w:pPr>
            <w:r w:rsidRPr="002D70DA">
              <w:rPr>
                <w:rFonts w:ascii="Arial" w:hAnsi="Arial" w:cs="Arial"/>
                <w:b/>
                <w:bCs/>
                <w:color w:val="000000"/>
                <w:sz w:val="17"/>
                <w:szCs w:val="17"/>
              </w:rPr>
              <w:t>201</w:t>
            </w:r>
            <w:r w:rsidR="002342BD">
              <w:rPr>
                <w:rFonts w:ascii="Arial" w:hAnsi="Arial" w:cs="Arial"/>
                <w:b/>
                <w:bCs/>
                <w:color w:val="000000"/>
                <w:sz w:val="17"/>
                <w:szCs w:val="17"/>
              </w:rPr>
              <w:t>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F591E" w:rsidRPr="002D70DA" w:rsidRDefault="00EF591E" w:rsidP="002342BD">
            <w:pPr>
              <w:jc w:val="center"/>
              <w:rPr>
                <w:rFonts w:ascii="Arial" w:hAnsi="Arial" w:cs="Arial"/>
                <w:b/>
                <w:bCs/>
                <w:color w:val="000000"/>
                <w:sz w:val="17"/>
                <w:szCs w:val="17"/>
              </w:rPr>
            </w:pPr>
            <w:r w:rsidRPr="002D70DA">
              <w:rPr>
                <w:rFonts w:ascii="Arial" w:hAnsi="Arial" w:cs="Arial"/>
                <w:b/>
                <w:bCs/>
                <w:color w:val="000000"/>
                <w:sz w:val="17"/>
                <w:szCs w:val="17"/>
              </w:rPr>
              <w:t>201</w:t>
            </w:r>
            <w:r w:rsidR="002342BD">
              <w:rPr>
                <w:rFonts w:ascii="Arial" w:hAnsi="Arial" w:cs="Arial"/>
                <w:b/>
                <w:bCs/>
                <w:color w:val="000000"/>
                <w:sz w:val="17"/>
                <w:szCs w:val="17"/>
              </w:rPr>
              <w:t>5</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b/>
                <w:sz w:val="17"/>
                <w:szCs w:val="17"/>
              </w:rPr>
            </w:pPr>
            <w:r w:rsidRPr="006B32C0">
              <w:rPr>
                <w:rFonts w:ascii="Arial" w:hAnsi="Arial" w:cs="Arial"/>
                <w:b/>
                <w:sz w:val="17"/>
                <w:szCs w:val="17"/>
              </w:rPr>
              <w:t xml:space="preserve">2,957,814,603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b/>
                <w:sz w:val="17"/>
                <w:szCs w:val="17"/>
              </w:rPr>
            </w:pPr>
            <w:r w:rsidRPr="006B32C0">
              <w:rPr>
                <w:rFonts w:ascii="Arial" w:hAnsi="Arial" w:cs="Arial"/>
                <w:b/>
                <w:sz w:val="17"/>
                <w:szCs w:val="17"/>
              </w:rPr>
              <w:t xml:space="preserve">2,889,086,739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hideMark/>
          </w:tcPr>
          <w:p w:rsidR="006B32C0" w:rsidRPr="006B32C0" w:rsidRDefault="006B32C0" w:rsidP="006B32C0">
            <w:pPr>
              <w:jc w:val="right"/>
              <w:rPr>
                <w:rFonts w:ascii="Arial" w:hAnsi="Arial" w:cs="Arial"/>
                <w:sz w:val="17"/>
                <w:szCs w:val="17"/>
              </w:rPr>
            </w:pPr>
          </w:p>
        </w:tc>
        <w:tc>
          <w:tcPr>
            <w:tcW w:w="2180" w:type="dxa"/>
            <w:tcBorders>
              <w:top w:val="nil"/>
              <w:left w:val="nil"/>
              <w:bottom w:val="single" w:sz="4" w:space="0" w:color="auto"/>
              <w:right w:val="single" w:sz="4" w:space="0" w:color="auto"/>
            </w:tcBorders>
            <w:shd w:val="clear" w:color="000000" w:fill="FFFFFF"/>
            <w:hideMark/>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6B32C0" w:rsidRDefault="006B32C0" w:rsidP="006B32C0">
            <w:pPr>
              <w:rPr>
                <w:rFonts w:ascii="Arial" w:hAnsi="Arial" w:cs="Arial"/>
                <w:b/>
                <w:i/>
                <w:iCs/>
                <w:color w:val="000000"/>
                <w:sz w:val="17"/>
                <w:szCs w:val="17"/>
              </w:rPr>
            </w:pPr>
            <w:r w:rsidRPr="006B32C0">
              <w:rPr>
                <w:rFonts w:ascii="Arial" w:hAnsi="Arial" w:cs="Arial"/>
                <w:b/>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hideMark/>
          </w:tcPr>
          <w:p w:rsidR="006B32C0" w:rsidRPr="006B32C0" w:rsidRDefault="006B32C0" w:rsidP="006B32C0">
            <w:pPr>
              <w:jc w:val="right"/>
              <w:rPr>
                <w:rFonts w:ascii="Arial" w:hAnsi="Arial" w:cs="Arial"/>
                <w:b/>
                <w:sz w:val="17"/>
                <w:szCs w:val="17"/>
              </w:rPr>
            </w:pPr>
            <w:r w:rsidRPr="006B32C0">
              <w:rPr>
                <w:rFonts w:ascii="Arial" w:hAnsi="Arial" w:cs="Arial"/>
                <w:b/>
                <w:sz w:val="17"/>
                <w:szCs w:val="17"/>
              </w:rPr>
              <w:t xml:space="preserve">1,062,856,753 </w:t>
            </w:r>
          </w:p>
        </w:tc>
        <w:tc>
          <w:tcPr>
            <w:tcW w:w="2180" w:type="dxa"/>
            <w:tcBorders>
              <w:top w:val="nil"/>
              <w:left w:val="nil"/>
              <w:bottom w:val="single" w:sz="4" w:space="0" w:color="auto"/>
              <w:right w:val="single" w:sz="4" w:space="0" w:color="auto"/>
            </w:tcBorders>
            <w:shd w:val="clear" w:color="000000" w:fill="FFFFFF"/>
            <w:hideMark/>
          </w:tcPr>
          <w:p w:rsidR="006B32C0" w:rsidRPr="006B32C0" w:rsidRDefault="006B32C0" w:rsidP="006B32C0">
            <w:pPr>
              <w:jc w:val="right"/>
              <w:rPr>
                <w:rFonts w:ascii="Arial" w:hAnsi="Arial" w:cs="Arial"/>
                <w:b/>
                <w:sz w:val="17"/>
                <w:szCs w:val="17"/>
              </w:rPr>
            </w:pPr>
            <w:r w:rsidRPr="006B32C0">
              <w:rPr>
                <w:rFonts w:ascii="Arial" w:hAnsi="Arial" w:cs="Arial"/>
                <w:b/>
                <w:sz w:val="17"/>
                <w:szCs w:val="17"/>
              </w:rPr>
              <w:t xml:space="preserve">-657,148,713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-121,431,708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-250,830,614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-57,356,465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-43,984,400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-352,020,652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-362,336,810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0 </w:t>
            </w:r>
          </w:p>
        </w:tc>
      </w:tr>
      <w:tr w:rsidR="006B32C0" w:rsidRPr="002D70DA" w:rsidTr="005304C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0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ind w:firstLineChars="100" w:firstLine="170"/>
              <w:rPr>
                <w:rFonts w:ascii="Arial" w:hAnsi="Arial" w:cs="Arial"/>
                <w:color w:val="000000"/>
                <w:sz w:val="17"/>
                <w:szCs w:val="17"/>
              </w:rPr>
            </w:pPr>
            <w:r w:rsidRPr="002D70DA">
              <w:rPr>
                <w:rFonts w:ascii="Arial" w:hAnsi="Arial" w:cs="Arial"/>
                <w:color w:val="000000"/>
                <w:sz w:val="17"/>
                <w:szCs w:val="17"/>
              </w:rPr>
              <w:t xml:space="preserve">Incremento en </w:t>
            </w:r>
            <w:r>
              <w:rPr>
                <w:rFonts w:ascii="Arial" w:hAnsi="Arial" w:cs="Arial"/>
                <w:color w:val="000000"/>
                <w:sz w:val="17"/>
                <w:szCs w:val="17"/>
              </w:rPr>
              <w:t>activo circulante</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1,997,766,912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0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-999,284,431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0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595,183,096 </w:t>
            </w:r>
          </w:p>
        </w:tc>
        <w:tc>
          <w:tcPr>
            <w:tcW w:w="2180" w:type="dxa"/>
            <w:tcBorders>
              <w:top w:val="nil"/>
              <w:left w:val="nil"/>
              <w:bottom w:val="single" w:sz="4" w:space="0" w:color="auto"/>
              <w:right w:val="single" w:sz="4" w:space="0" w:color="auto"/>
            </w:tcBorders>
            <w:shd w:val="clear" w:color="000000" w:fill="FFFFFF"/>
          </w:tcPr>
          <w:p w:rsidR="006B32C0" w:rsidRPr="006B32C0" w:rsidRDefault="006B32C0" w:rsidP="006B32C0">
            <w:pPr>
              <w:jc w:val="right"/>
              <w:rPr>
                <w:rFonts w:ascii="Arial" w:hAnsi="Arial" w:cs="Arial"/>
                <w:sz w:val="17"/>
                <w:szCs w:val="17"/>
              </w:rPr>
            </w:pPr>
            <w:r w:rsidRPr="006B32C0">
              <w:rPr>
                <w:rFonts w:ascii="Arial" w:hAnsi="Arial" w:cs="Arial"/>
                <w:sz w:val="17"/>
                <w:szCs w:val="17"/>
              </w:rPr>
              <w:t xml:space="preserve">3,111 </w:t>
            </w:r>
          </w:p>
        </w:tc>
      </w:tr>
      <w:tr w:rsidR="006B32C0" w:rsidRPr="002D70DA" w:rsidTr="005304C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B32C0" w:rsidRPr="002D70DA" w:rsidRDefault="006B32C0" w:rsidP="006B32C0">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hideMark/>
          </w:tcPr>
          <w:p w:rsidR="006B32C0" w:rsidRPr="006B32C0" w:rsidRDefault="006B32C0" w:rsidP="006B32C0">
            <w:pPr>
              <w:jc w:val="right"/>
              <w:rPr>
                <w:rFonts w:ascii="Arial" w:hAnsi="Arial" w:cs="Arial"/>
                <w:b/>
                <w:sz w:val="17"/>
                <w:szCs w:val="17"/>
              </w:rPr>
            </w:pPr>
            <w:r w:rsidRPr="006B32C0">
              <w:rPr>
                <w:rFonts w:ascii="Arial" w:hAnsi="Arial" w:cs="Arial"/>
                <w:b/>
                <w:sz w:val="17"/>
                <w:szCs w:val="17"/>
              </w:rPr>
              <w:t xml:space="preserve">4,020,671,355 </w:t>
            </w:r>
          </w:p>
        </w:tc>
        <w:tc>
          <w:tcPr>
            <w:tcW w:w="2180" w:type="dxa"/>
            <w:tcBorders>
              <w:top w:val="nil"/>
              <w:left w:val="nil"/>
              <w:bottom w:val="single" w:sz="4" w:space="0" w:color="auto"/>
              <w:right w:val="single" w:sz="4" w:space="0" w:color="auto"/>
            </w:tcBorders>
            <w:shd w:val="clear" w:color="000000" w:fill="FFFFFF"/>
            <w:hideMark/>
          </w:tcPr>
          <w:p w:rsidR="006B32C0" w:rsidRPr="006B32C0" w:rsidRDefault="006B32C0" w:rsidP="006B32C0">
            <w:pPr>
              <w:jc w:val="right"/>
              <w:rPr>
                <w:rFonts w:ascii="Arial" w:hAnsi="Arial" w:cs="Arial"/>
                <w:b/>
                <w:sz w:val="17"/>
                <w:szCs w:val="17"/>
              </w:rPr>
            </w:pPr>
            <w:r w:rsidRPr="006B32C0">
              <w:rPr>
                <w:rFonts w:ascii="Arial" w:hAnsi="Arial" w:cs="Arial"/>
                <w:b/>
                <w:sz w:val="17"/>
                <w:szCs w:val="17"/>
              </w:rPr>
              <w:t xml:space="preserve">2,231,938,026 </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D439F7" w:rsidRDefault="00D439F7">
      <w:pPr>
        <w:rPr>
          <w:rFonts w:ascii="Arial" w:hAnsi="Arial" w:cs="Arial"/>
          <w:b/>
          <w:sz w:val="17"/>
          <w:szCs w:val="17"/>
        </w:rPr>
      </w:pPr>
      <w:r>
        <w:rPr>
          <w:rFonts w:ascii="Arial" w:hAnsi="Arial" w:cs="Arial"/>
          <w:b/>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D439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F63161">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3F68D8">
            <w:pPr>
              <w:jc w:val="right"/>
              <w:rPr>
                <w:rFonts w:ascii="Arial" w:hAnsi="Arial" w:cs="Arial"/>
                <w:b/>
                <w:bCs/>
                <w:color w:val="000000"/>
                <w:sz w:val="17"/>
                <w:szCs w:val="17"/>
              </w:rPr>
            </w:pPr>
            <w:r w:rsidRPr="003F68D8">
              <w:rPr>
                <w:rFonts w:ascii="Arial" w:hAnsi="Arial" w:cs="Arial"/>
                <w:b/>
                <w:bCs/>
                <w:color w:val="000000"/>
                <w:sz w:val="17"/>
                <w:szCs w:val="17"/>
              </w:rPr>
              <w:t>34,073,274,894</w:t>
            </w: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3F68D8" w:rsidP="002746E2">
            <w:pPr>
              <w:jc w:val="right"/>
              <w:rPr>
                <w:rFonts w:ascii="Arial" w:hAnsi="Arial" w:cs="Arial"/>
                <w:b/>
                <w:bCs/>
                <w:color w:val="000000"/>
                <w:sz w:val="17"/>
                <w:szCs w:val="17"/>
              </w:rPr>
            </w:pPr>
            <w:r w:rsidRPr="003F68D8">
              <w:rPr>
                <w:rFonts w:ascii="Arial" w:hAnsi="Arial" w:cs="Arial"/>
                <w:b/>
                <w:bCs/>
                <w:color w:val="000000"/>
                <w:sz w:val="17"/>
                <w:szCs w:val="17"/>
                <w14:numForm w14:val="lining"/>
              </w:rPr>
              <w:t>595,183,096</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8F6200" w:rsidRDefault="002746E2" w:rsidP="002746E2">
            <w:pPr>
              <w:jc w:val="right"/>
              <w:rPr>
                <w:rFonts w:ascii="Arial" w:hAnsi="Arial" w:cs="Arial"/>
                <w:bCs/>
                <w:color w:val="000000"/>
                <w:sz w:val="17"/>
                <w:szCs w:val="17"/>
              </w:rPr>
            </w:pPr>
            <w:r w:rsidRPr="008F6200">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3F68D8" w:rsidP="002746E2">
            <w:pPr>
              <w:jc w:val="right"/>
              <w:rPr>
                <w:rFonts w:ascii="Arial" w:hAnsi="Arial" w:cs="Arial"/>
                <w:bCs/>
                <w:color w:val="000000"/>
                <w:sz w:val="17"/>
                <w:szCs w:val="17"/>
              </w:rPr>
            </w:pPr>
            <w:r>
              <w:rPr>
                <w:rFonts w:ascii="Arial" w:hAnsi="Arial" w:cs="Arial"/>
                <w:bCs/>
                <w:color w:val="000000"/>
                <w:sz w:val="17"/>
                <w:szCs w:val="17"/>
              </w:rPr>
              <w:t>595,183,096</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5D74FD" w:rsidP="002746E2">
            <w:pPr>
              <w:jc w:val="right"/>
              <w:rPr>
                <w:rFonts w:ascii="Arial" w:hAnsi="Arial" w:cs="Arial"/>
                <w:b/>
                <w:bCs/>
                <w:color w:val="000000"/>
                <w:sz w:val="17"/>
                <w:szCs w:val="17"/>
              </w:rPr>
            </w:pPr>
            <w:r>
              <w:rPr>
                <w:rFonts w:ascii="Arial" w:hAnsi="Arial" w:cs="Arial"/>
                <w:b/>
                <w:bCs/>
                <w:color w:val="000000"/>
                <w:sz w:val="17"/>
                <w:szCs w:val="17"/>
                <w14:numForm w14:val="lining"/>
              </w:rPr>
              <w:t>0</w:t>
            </w:r>
            <w:r w:rsidR="002518AB" w:rsidRPr="002518AB">
              <w:rPr>
                <w:rFonts w:ascii="Arial" w:hAnsi="Arial" w:cs="Arial"/>
                <w:b/>
                <w:bCs/>
                <w:color w:val="000000"/>
                <w:sz w:val="17"/>
                <w:szCs w:val="17"/>
                <w14:numForm w14:val="lining"/>
              </w:rPr>
              <w:t>.00</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518AB" w:rsidP="002746E2">
            <w:pPr>
              <w:jc w:val="right"/>
              <w:rPr>
                <w:rFonts w:ascii="Arial" w:hAnsi="Arial" w:cs="Arial"/>
                <w:bCs/>
                <w:color w:val="000000"/>
                <w:sz w:val="17"/>
                <w:szCs w:val="17"/>
              </w:rPr>
            </w:pPr>
            <w:r w:rsidRPr="008F6200">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8F6200" w:rsidRDefault="002746E2" w:rsidP="002746E2">
            <w:pPr>
              <w:jc w:val="right"/>
              <w:rPr>
                <w:rFonts w:ascii="Arial" w:hAnsi="Arial" w:cs="Arial"/>
                <w:bCs/>
                <w:color w:val="000000"/>
                <w:sz w:val="17"/>
                <w:szCs w:val="17"/>
              </w:rPr>
            </w:pP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F63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FB48CD" w:rsidP="002746E2">
            <w:pPr>
              <w:jc w:val="right"/>
              <w:rPr>
                <w:rFonts w:ascii="Arial" w:hAnsi="Arial" w:cs="Arial"/>
                <w:b/>
                <w:bCs/>
                <w:color w:val="000000"/>
                <w:sz w:val="17"/>
                <w:szCs w:val="17"/>
              </w:rPr>
            </w:pPr>
            <w:r>
              <w:rPr>
                <w:rFonts w:ascii="Arial" w:hAnsi="Arial" w:cs="Arial"/>
                <w:b/>
                <w:bCs/>
                <w:color w:val="000000"/>
                <w:sz w:val="17"/>
                <w:szCs w:val="17"/>
              </w:rPr>
              <w:t>34,668,457,990</w:t>
            </w: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bl>
    <w:p w:rsidR="00B811F0" w:rsidRDefault="00B811F0">
      <w:r>
        <w:br w:type="page"/>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F63161">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lastRenderedPageBreak/>
              <w:t>B. Conciliación entre los Egresos Presupuestarios y los Gastos Contables:</w:t>
            </w: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FB18E6" w:rsidP="002746E2">
            <w:pPr>
              <w:jc w:val="right"/>
              <w:rPr>
                <w:rFonts w:ascii="Arial" w:hAnsi="Arial" w:cs="Arial"/>
                <w:b/>
                <w:bCs/>
                <w:color w:val="000000"/>
                <w:sz w:val="17"/>
                <w:szCs w:val="17"/>
              </w:rPr>
            </w:pPr>
            <w:r w:rsidRPr="00FB18E6">
              <w:rPr>
                <w:rFonts w:ascii="Arial" w:hAnsi="Arial" w:cs="Arial"/>
                <w:b/>
                <w:bCs/>
                <w:color w:val="000000"/>
                <w:sz w:val="17"/>
                <w:szCs w:val="17"/>
              </w:rPr>
              <w:t>31,181,684,558.38</w:t>
            </w: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8B29B3" w:rsidP="002746E2">
            <w:pPr>
              <w:jc w:val="right"/>
              <w:rPr>
                <w:rFonts w:ascii="Arial" w:hAnsi="Arial" w:cs="Arial"/>
                <w:b/>
                <w:bCs/>
                <w:color w:val="000000"/>
                <w:sz w:val="17"/>
                <w:szCs w:val="17"/>
              </w:rPr>
            </w:pPr>
            <w:r w:rsidRPr="008B29B3">
              <w:rPr>
                <w:rFonts w:ascii="Arial" w:hAnsi="Arial" w:cs="Arial"/>
                <w:b/>
                <w:bCs/>
                <w:color w:val="000000"/>
                <w:sz w:val="17"/>
                <w:szCs w:val="17"/>
                <w14:numForm w14:val="lining"/>
              </w:rPr>
              <w:t>954,299,101.58</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C5E33" w:rsidP="00886724">
            <w:pPr>
              <w:jc w:val="right"/>
              <w:rPr>
                <w:rFonts w:ascii="Arial" w:hAnsi="Arial" w:cs="Arial"/>
                <w:bCs/>
                <w:color w:val="000000"/>
                <w:sz w:val="17"/>
                <w:szCs w:val="17"/>
              </w:rPr>
            </w:pPr>
            <w:r w:rsidRPr="006C5E33">
              <w:rPr>
                <w:rFonts w:ascii="Arial" w:hAnsi="Arial" w:cs="Arial"/>
                <w:bCs/>
                <w:color w:val="000000"/>
                <w:sz w:val="17"/>
                <w:szCs w:val="17"/>
              </w:rPr>
              <w:t>34,653,727.17</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7561E" w:rsidP="00886724">
            <w:pPr>
              <w:jc w:val="right"/>
              <w:rPr>
                <w:rFonts w:ascii="Arial" w:hAnsi="Arial" w:cs="Arial"/>
                <w:bCs/>
                <w:color w:val="000000"/>
                <w:sz w:val="17"/>
                <w:szCs w:val="17"/>
              </w:rPr>
            </w:pPr>
            <w:r w:rsidRPr="0087561E">
              <w:rPr>
                <w:rFonts w:ascii="Arial" w:hAnsi="Arial" w:cs="Arial"/>
                <w:bCs/>
                <w:color w:val="000000"/>
                <w:sz w:val="17"/>
                <w:szCs w:val="17"/>
              </w:rPr>
              <w:t>15,858,885.91</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7561E" w:rsidP="00886724">
            <w:pPr>
              <w:jc w:val="right"/>
              <w:rPr>
                <w:rFonts w:ascii="Arial" w:hAnsi="Arial" w:cs="Arial"/>
                <w:bCs/>
                <w:color w:val="000000"/>
                <w:sz w:val="17"/>
                <w:szCs w:val="17"/>
              </w:rPr>
            </w:pPr>
            <w:r w:rsidRPr="0087561E">
              <w:rPr>
                <w:rFonts w:ascii="Arial" w:hAnsi="Arial" w:cs="Arial"/>
                <w:bCs/>
                <w:color w:val="000000"/>
                <w:sz w:val="17"/>
                <w:szCs w:val="17"/>
              </w:rPr>
              <w:t>1,265,390.12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7561E" w:rsidP="00886724">
            <w:pPr>
              <w:jc w:val="right"/>
              <w:rPr>
                <w:rFonts w:ascii="Arial" w:hAnsi="Arial" w:cs="Arial"/>
                <w:bCs/>
                <w:color w:val="000000"/>
                <w:sz w:val="17"/>
                <w:szCs w:val="17"/>
              </w:rPr>
            </w:pPr>
            <w:r w:rsidRPr="0087561E">
              <w:rPr>
                <w:rFonts w:ascii="Arial" w:hAnsi="Arial" w:cs="Arial"/>
                <w:bCs/>
                <w:color w:val="000000"/>
                <w:sz w:val="17"/>
                <w:szCs w:val="17"/>
              </w:rPr>
              <w:t>84,060,062.85</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886724">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7561E" w:rsidP="00886724">
            <w:pPr>
              <w:jc w:val="right"/>
              <w:rPr>
                <w:rFonts w:ascii="Arial" w:hAnsi="Arial" w:cs="Arial"/>
                <w:bCs/>
                <w:color w:val="000000"/>
                <w:sz w:val="17"/>
                <w:szCs w:val="17"/>
              </w:rPr>
            </w:pPr>
            <w:r w:rsidRPr="0087561E">
              <w:rPr>
                <w:rFonts w:ascii="Arial" w:hAnsi="Arial" w:cs="Arial"/>
                <w:bCs/>
                <w:color w:val="000000"/>
                <w:sz w:val="17"/>
                <w:szCs w:val="17"/>
              </w:rPr>
              <w:t>15,526,502.62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7561E" w:rsidP="00886724">
            <w:pPr>
              <w:jc w:val="right"/>
              <w:rPr>
                <w:rFonts w:ascii="Arial" w:hAnsi="Arial" w:cs="Arial"/>
                <w:bCs/>
                <w:color w:val="000000"/>
                <w:sz w:val="17"/>
                <w:szCs w:val="17"/>
              </w:rPr>
            </w:pPr>
            <w:r w:rsidRPr="0087561E">
              <w:rPr>
                <w:rFonts w:ascii="Arial" w:hAnsi="Arial" w:cs="Arial"/>
                <w:bCs/>
                <w:color w:val="000000"/>
                <w:sz w:val="17"/>
                <w:szCs w:val="17"/>
              </w:rPr>
              <w:t>8,386,268.71</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B29B3" w:rsidP="008F6200">
            <w:pPr>
              <w:jc w:val="right"/>
              <w:rPr>
                <w:rFonts w:ascii="Arial" w:hAnsi="Arial" w:cs="Arial"/>
                <w:bCs/>
                <w:color w:val="000000"/>
                <w:sz w:val="17"/>
                <w:szCs w:val="17"/>
              </w:rPr>
            </w:pPr>
            <w:r w:rsidRPr="008B29B3">
              <w:rPr>
                <w:rFonts w:ascii="Arial" w:hAnsi="Arial" w:cs="Arial"/>
                <w:bCs/>
                <w:color w:val="000000"/>
                <w:sz w:val="17"/>
                <w:szCs w:val="17"/>
              </w:rPr>
              <w:t>326,763,453.09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8F6200">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F63161" w:rsidP="002746E2">
            <w:pPr>
              <w:jc w:val="right"/>
              <w:rPr>
                <w:rFonts w:ascii="Arial" w:hAnsi="Arial" w:cs="Arial"/>
                <w:bCs/>
                <w:color w:val="000000"/>
                <w:sz w:val="17"/>
                <w:szCs w:val="17"/>
              </w:rPr>
            </w:pPr>
            <w:r w:rsidRPr="00F63161">
              <w:rPr>
                <w:rFonts w:ascii="Arial" w:hAnsi="Arial" w:cs="Arial"/>
                <w:bCs/>
                <w:color w:val="000000"/>
                <w:sz w:val="17"/>
                <w:szCs w:val="17"/>
              </w:rPr>
              <w:t>112,000,000.00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DD6F0D">
        <w:trPr>
          <w:trHeight w:val="28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7561E" w:rsidP="002746E2">
            <w:pPr>
              <w:jc w:val="right"/>
              <w:rPr>
                <w:rFonts w:ascii="Arial" w:hAnsi="Arial" w:cs="Arial"/>
                <w:bCs/>
                <w:color w:val="000000"/>
                <w:sz w:val="17"/>
                <w:szCs w:val="17"/>
              </w:rPr>
            </w:pPr>
            <w:r w:rsidRPr="0087561E">
              <w:rPr>
                <w:rFonts w:ascii="Arial" w:hAnsi="Arial" w:cs="Arial"/>
                <w:bCs/>
                <w:color w:val="000000"/>
                <w:sz w:val="17"/>
                <w:szCs w:val="17"/>
              </w:rPr>
              <w:t>295,018,725.19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B811F0">
        <w:trPr>
          <w:trHeight w:val="39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7561E" w:rsidP="00346055">
            <w:pPr>
              <w:jc w:val="right"/>
              <w:rPr>
                <w:rFonts w:ascii="Arial" w:hAnsi="Arial" w:cs="Arial"/>
                <w:bCs/>
                <w:color w:val="000000"/>
                <w:sz w:val="17"/>
                <w:szCs w:val="17"/>
              </w:rPr>
            </w:pPr>
            <w:r w:rsidRPr="0087561E">
              <w:rPr>
                <w:rFonts w:ascii="Arial" w:hAnsi="Arial" w:cs="Arial"/>
                <w:bCs/>
                <w:color w:val="000000"/>
                <w:sz w:val="17"/>
                <w:szCs w:val="17"/>
              </w:rPr>
              <w:t>57,356,464.98</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346055" w:rsidRDefault="0087561E" w:rsidP="00886724">
            <w:pPr>
              <w:jc w:val="right"/>
              <w:rPr>
                <w:rFonts w:ascii="Arial" w:hAnsi="Arial" w:cs="Arial"/>
                <w:bCs/>
                <w:color w:val="000000"/>
                <w:sz w:val="17"/>
                <w:szCs w:val="17"/>
              </w:rPr>
            </w:pPr>
            <w:r w:rsidRPr="0087561E">
              <w:rPr>
                <w:rFonts w:ascii="Arial" w:hAnsi="Arial" w:cs="Arial"/>
                <w:bCs/>
                <w:color w:val="000000"/>
                <w:sz w:val="17"/>
                <w:szCs w:val="17"/>
              </w:rPr>
              <w:t>3,409,620.94</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346055" w:rsidRDefault="002746E2" w:rsidP="002746E2">
            <w:pPr>
              <w:jc w:val="right"/>
              <w:rPr>
                <w:rFonts w:ascii="Arial" w:hAnsi="Arial" w:cs="Arial"/>
                <w:bCs/>
                <w:color w:val="000000"/>
                <w:sz w:val="17"/>
                <w:szCs w:val="17"/>
              </w:rPr>
            </w:pPr>
            <w:r w:rsidRPr="00346055">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864A24" w:rsidP="006B2EC6">
            <w:pPr>
              <w:jc w:val="right"/>
              <w:rPr>
                <w:rFonts w:ascii="Arial" w:hAnsi="Arial" w:cs="Arial"/>
                <w:b/>
                <w:bCs/>
                <w:color w:val="000000"/>
                <w:sz w:val="17"/>
                <w:szCs w:val="17"/>
              </w:rPr>
            </w:pPr>
            <w:r w:rsidRPr="00864A24">
              <w:rPr>
                <w:rFonts w:ascii="Arial" w:hAnsi="Arial" w:cs="Arial"/>
                <w:b/>
                <w:bCs/>
                <w:color w:val="000000"/>
                <w:sz w:val="17"/>
                <w:szCs w:val="17"/>
                <w14:numForm w14:val="lining"/>
              </w:rPr>
              <w:t>743,224,772.33</w:t>
            </w:r>
          </w:p>
        </w:tc>
      </w:tr>
      <w:tr w:rsidR="002746E2" w:rsidRPr="002D70DA" w:rsidTr="00415091">
        <w:trPr>
          <w:trHeight w:val="217"/>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44129E" w:rsidRDefault="0087561E" w:rsidP="0044129E">
            <w:pPr>
              <w:jc w:val="right"/>
              <w:rPr>
                <w:rFonts w:ascii="Arial" w:hAnsi="Arial" w:cs="Arial"/>
                <w:bCs/>
                <w:color w:val="000000"/>
                <w:sz w:val="17"/>
                <w:szCs w:val="17"/>
              </w:rPr>
            </w:pPr>
            <w:r w:rsidRPr="0087561E">
              <w:rPr>
                <w:rFonts w:ascii="Arial" w:hAnsi="Arial" w:cs="Arial"/>
                <w:bCs/>
                <w:color w:val="000000"/>
                <w:sz w:val="17"/>
                <w:szCs w:val="17"/>
              </w:rPr>
              <w:t>121,431,707.67</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44129E" w:rsidRDefault="002746E2" w:rsidP="002746E2">
            <w:pPr>
              <w:jc w:val="right"/>
              <w:rPr>
                <w:rFonts w:ascii="Arial" w:hAnsi="Arial" w:cs="Arial"/>
                <w:bCs/>
                <w:color w:val="000000"/>
                <w:sz w:val="17"/>
                <w:szCs w:val="17"/>
              </w:rPr>
            </w:pPr>
            <w:r w:rsidRPr="0044129E">
              <w:rPr>
                <w:rFonts w:ascii="Arial" w:hAnsi="Arial" w:cs="Arial"/>
                <w:bCs/>
                <w:color w:val="000000"/>
                <w:sz w:val="17"/>
                <w:szCs w:val="17"/>
              </w:rPr>
              <w:t> </w:t>
            </w:r>
          </w:p>
        </w:tc>
      </w:tr>
      <w:tr w:rsidR="002746E2" w:rsidRPr="002D70DA" w:rsidTr="00DD6F0D">
        <w:trPr>
          <w:trHeight w:val="9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44129E"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44129E" w:rsidRDefault="002746E2" w:rsidP="002746E2">
            <w:pPr>
              <w:jc w:val="right"/>
              <w:rPr>
                <w:rFonts w:ascii="Arial" w:hAnsi="Arial" w:cs="Arial"/>
                <w:bCs/>
                <w:color w:val="000000"/>
                <w:sz w:val="17"/>
                <w:szCs w:val="17"/>
              </w:rPr>
            </w:pPr>
            <w:r w:rsidRPr="0044129E">
              <w:rPr>
                <w:rFonts w:ascii="Arial" w:hAnsi="Arial" w:cs="Arial"/>
                <w:bCs/>
                <w:color w:val="000000"/>
                <w:sz w:val="17"/>
                <w:szCs w:val="17"/>
              </w:rPr>
              <w:t> </w:t>
            </w:r>
          </w:p>
        </w:tc>
      </w:tr>
      <w:tr w:rsidR="002746E2" w:rsidRPr="002D70DA" w:rsidTr="00415091">
        <w:trPr>
          <w:trHeight w:val="53"/>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44129E" w:rsidRDefault="00864A24" w:rsidP="0044129E">
            <w:pPr>
              <w:jc w:val="right"/>
              <w:rPr>
                <w:rFonts w:ascii="Arial" w:hAnsi="Arial" w:cs="Arial"/>
                <w:bCs/>
                <w:color w:val="000000"/>
                <w:sz w:val="17"/>
                <w:szCs w:val="17"/>
              </w:rPr>
            </w:pPr>
            <w:r w:rsidRPr="00864A24">
              <w:rPr>
                <w:rFonts w:ascii="Arial" w:hAnsi="Arial" w:cs="Arial"/>
                <w:bCs/>
                <w:color w:val="000000"/>
                <w:sz w:val="17"/>
                <w:szCs w:val="17"/>
              </w:rPr>
              <w:t>3,191,613.70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44129E" w:rsidRDefault="002746E2" w:rsidP="002746E2">
            <w:pPr>
              <w:jc w:val="right"/>
              <w:rPr>
                <w:rFonts w:ascii="Arial" w:hAnsi="Arial" w:cs="Arial"/>
                <w:bCs/>
                <w:color w:val="000000"/>
                <w:sz w:val="17"/>
                <w:szCs w:val="17"/>
              </w:rPr>
            </w:pPr>
            <w:r w:rsidRPr="0044129E">
              <w:rPr>
                <w:rFonts w:ascii="Arial" w:hAnsi="Arial" w:cs="Arial"/>
                <w:bCs/>
                <w:color w:val="000000"/>
                <w:sz w:val="17"/>
                <w:szCs w:val="17"/>
              </w:rPr>
              <w:t> </w:t>
            </w:r>
          </w:p>
        </w:tc>
      </w:tr>
      <w:tr w:rsidR="002746E2" w:rsidRPr="002D70DA" w:rsidTr="00DD6F0D">
        <w:trPr>
          <w:trHeight w:val="301"/>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44129E"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44129E" w:rsidRDefault="002746E2" w:rsidP="002746E2">
            <w:pPr>
              <w:jc w:val="right"/>
              <w:rPr>
                <w:rFonts w:ascii="Arial" w:hAnsi="Arial" w:cs="Arial"/>
                <w:bCs/>
                <w:color w:val="000000"/>
                <w:sz w:val="17"/>
                <w:szCs w:val="17"/>
              </w:rPr>
            </w:pPr>
            <w:r w:rsidRPr="0044129E">
              <w:rPr>
                <w:rFonts w:ascii="Arial" w:hAnsi="Arial" w:cs="Arial"/>
                <w:bCs/>
                <w:color w:val="000000"/>
                <w:sz w:val="17"/>
                <w:szCs w:val="17"/>
              </w:rPr>
              <w:t> </w:t>
            </w:r>
          </w:p>
        </w:tc>
      </w:tr>
      <w:tr w:rsidR="002746E2" w:rsidRPr="002D70DA" w:rsidTr="00DD6F0D">
        <w:trPr>
          <w:trHeight w:val="135"/>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44129E" w:rsidRDefault="006B2EC6"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44129E" w:rsidRDefault="002746E2" w:rsidP="002746E2">
            <w:pPr>
              <w:jc w:val="right"/>
              <w:rPr>
                <w:rFonts w:ascii="Arial" w:hAnsi="Arial" w:cs="Arial"/>
                <w:bCs/>
                <w:color w:val="000000"/>
                <w:sz w:val="17"/>
                <w:szCs w:val="17"/>
              </w:rPr>
            </w:pPr>
            <w:r w:rsidRPr="0044129E">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44129E" w:rsidRDefault="0087561E" w:rsidP="002746E2">
            <w:pPr>
              <w:jc w:val="right"/>
              <w:rPr>
                <w:rFonts w:ascii="Arial" w:hAnsi="Arial" w:cs="Arial"/>
                <w:bCs/>
                <w:color w:val="000000"/>
                <w:sz w:val="17"/>
                <w:szCs w:val="17"/>
              </w:rPr>
            </w:pPr>
            <w:r w:rsidRPr="0087561E">
              <w:rPr>
                <w:rFonts w:ascii="Arial" w:hAnsi="Arial" w:cs="Arial"/>
                <w:bCs/>
                <w:color w:val="000000"/>
                <w:sz w:val="17"/>
                <w:szCs w:val="17"/>
              </w:rPr>
              <w:t>618,601,450.96</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44129E" w:rsidRDefault="002746E2" w:rsidP="002746E2">
            <w:pPr>
              <w:jc w:val="right"/>
              <w:rPr>
                <w:rFonts w:ascii="Arial" w:hAnsi="Arial" w:cs="Arial"/>
                <w:bCs/>
                <w:color w:val="000000"/>
                <w:sz w:val="17"/>
                <w:szCs w:val="17"/>
              </w:rPr>
            </w:pPr>
            <w:r w:rsidRPr="0044129E">
              <w:rPr>
                <w:rFonts w:ascii="Arial" w:hAnsi="Arial" w:cs="Arial"/>
                <w:bCs/>
                <w:color w:val="000000"/>
                <w:sz w:val="17"/>
                <w:szCs w:val="17"/>
              </w:rPr>
              <w:t> </w:t>
            </w:r>
          </w:p>
        </w:tc>
      </w:tr>
      <w:tr w:rsidR="002746E2" w:rsidRPr="002D70DA" w:rsidTr="00415091">
        <w:trPr>
          <w:trHeight w:val="99"/>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44129E" w:rsidRDefault="00864A24" w:rsidP="002746E2">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44129E" w:rsidRDefault="002746E2" w:rsidP="002746E2">
            <w:pPr>
              <w:jc w:val="right"/>
              <w:rPr>
                <w:rFonts w:ascii="Arial" w:hAnsi="Arial" w:cs="Arial"/>
                <w:bCs/>
                <w:color w:val="000000"/>
                <w:sz w:val="17"/>
                <w:szCs w:val="17"/>
              </w:rPr>
            </w:pPr>
            <w:r w:rsidRPr="0044129E">
              <w:rPr>
                <w:rFonts w:ascii="Arial" w:hAnsi="Arial" w:cs="Arial"/>
                <w:bCs/>
                <w:color w:val="000000"/>
                <w:sz w:val="17"/>
                <w:szCs w:val="17"/>
              </w:rPr>
              <w:t> </w:t>
            </w:r>
          </w:p>
        </w:tc>
      </w:tr>
      <w:tr w:rsidR="002746E2" w:rsidRPr="002D70DA" w:rsidTr="00F63161">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D439F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746E2" w:rsidRPr="002D70DA" w:rsidRDefault="00FB18E6" w:rsidP="006B2EC6">
            <w:pPr>
              <w:jc w:val="right"/>
              <w:rPr>
                <w:rFonts w:ascii="Arial" w:hAnsi="Arial" w:cs="Arial"/>
                <w:b/>
                <w:bCs/>
                <w:color w:val="000000"/>
                <w:sz w:val="17"/>
                <w:szCs w:val="17"/>
              </w:rPr>
            </w:pPr>
            <w:r w:rsidRPr="00FB18E6">
              <w:rPr>
                <w:rFonts w:ascii="Arial" w:hAnsi="Arial" w:cs="Arial"/>
                <w:b/>
                <w:bCs/>
                <w:color w:val="000000"/>
                <w:sz w:val="17"/>
                <w:szCs w:val="17"/>
                <w14:numForm w14:val="lining"/>
              </w:rPr>
              <w:t>30,970,610,229.13</w:t>
            </w:r>
          </w:p>
        </w:tc>
      </w:tr>
    </w:tbl>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8E208E" w:rsidRDefault="002B5A44" w:rsidP="008E208E">
      <w:pPr>
        <w:pStyle w:val="Prrafodelista"/>
        <w:numPr>
          <w:ilvl w:val="0"/>
          <w:numId w:val="47"/>
        </w:numPr>
        <w:autoSpaceDE w:val="0"/>
        <w:autoSpaceDN w:val="0"/>
        <w:adjustRightInd w:val="0"/>
        <w:spacing w:before="240" w:after="120"/>
        <w:ind w:left="1066" w:hanging="357"/>
        <w:jc w:val="both"/>
        <w:rPr>
          <w:rFonts w:ascii="Arial" w:hAnsi="Arial" w:cs="Arial"/>
          <w:b/>
          <w:sz w:val="17"/>
          <w:szCs w:val="17"/>
        </w:rPr>
      </w:pPr>
      <w:r w:rsidRPr="008E208E">
        <w:rPr>
          <w:rFonts w:ascii="Arial" w:hAnsi="Arial" w:cs="Arial"/>
          <w:b/>
          <w:sz w:val="17"/>
          <w:szCs w:val="17"/>
        </w:rPr>
        <w:t>Cuentas de orden contables</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033FC">
            <w:pPr>
              <w:rPr>
                <w:rFonts w:ascii="Calibri" w:hAnsi="Calibri"/>
                <w:b/>
                <w:bCs/>
                <w:color w:val="000000"/>
                <w:sz w:val="18"/>
                <w:szCs w:val="18"/>
              </w:rPr>
            </w:pPr>
            <w:r>
              <w:rPr>
                <w:rFonts w:ascii="Calibri" w:hAnsi="Calibri"/>
                <w:b/>
                <w:bCs/>
                <w:color w:val="000000"/>
                <w:sz w:val="18"/>
                <w:szCs w:val="18"/>
              </w:rPr>
              <w:t xml:space="preserve">C. </w:t>
            </w:r>
            <w:r w:rsidR="006642DB" w:rsidRPr="006642DB">
              <w:rPr>
                <w:rFonts w:ascii="Calibri" w:hAnsi="Calibri"/>
                <w:b/>
                <w:bCs/>
                <w:color w:val="000000"/>
                <w:sz w:val="18"/>
                <w:szCs w:val="18"/>
              </w:rPr>
              <w:t>Avales y Garantías</w:t>
            </w:r>
            <w:r w:rsidR="006642DB">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8751F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033FC">
        <w:trPr>
          <w:trHeight w:val="240"/>
          <w:jc w:val="center"/>
        </w:trPr>
        <w:tc>
          <w:tcPr>
            <w:tcW w:w="4900" w:type="dxa"/>
            <w:tcBorders>
              <w:top w:val="nil"/>
              <w:left w:val="single" w:sz="4" w:space="0" w:color="auto"/>
              <w:bottom w:val="nil"/>
              <w:right w:val="single" w:sz="4" w:space="0" w:color="auto"/>
            </w:tcBorders>
            <w:shd w:val="clear" w:color="auto" w:fill="auto"/>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nil"/>
              <w:right w:val="single" w:sz="4" w:space="0" w:color="auto"/>
            </w:tcBorders>
            <w:shd w:val="clear" w:color="auto" w:fill="auto"/>
            <w:vAlign w:val="center"/>
            <w:hideMark/>
          </w:tcPr>
          <w:p w:rsidR="006642DB" w:rsidRPr="008943A8" w:rsidRDefault="008943A8">
            <w:pPr>
              <w:jc w:val="center"/>
              <w:rPr>
                <w:rFonts w:ascii="Calibri" w:hAnsi="Calibri"/>
                <w:bCs/>
                <w:color w:val="000000"/>
                <w:sz w:val="18"/>
                <w:szCs w:val="18"/>
              </w:rPr>
            </w:pPr>
            <w:r>
              <w:rPr>
                <w:rFonts w:ascii="Calibri" w:hAnsi="Calibri"/>
                <w:bCs/>
                <w:color w:val="000000"/>
                <w:sz w:val="18"/>
                <w:szCs w:val="18"/>
              </w:rPr>
              <w:t>Aval deuda CEA</w:t>
            </w:r>
          </w:p>
        </w:tc>
        <w:tc>
          <w:tcPr>
            <w:tcW w:w="2180" w:type="dxa"/>
            <w:tcBorders>
              <w:top w:val="nil"/>
              <w:left w:val="nil"/>
              <w:bottom w:val="nil"/>
              <w:right w:val="single" w:sz="4" w:space="0" w:color="auto"/>
            </w:tcBorders>
            <w:shd w:val="clear" w:color="auto" w:fill="auto"/>
            <w:vAlign w:val="center"/>
          </w:tcPr>
          <w:p w:rsidR="006642DB" w:rsidRPr="008943A8" w:rsidRDefault="008943A8">
            <w:pPr>
              <w:jc w:val="right"/>
              <w:rPr>
                <w:rFonts w:ascii="Calibri" w:hAnsi="Calibri"/>
                <w:bCs/>
                <w:color w:val="000000"/>
                <w:sz w:val="18"/>
                <w:szCs w:val="18"/>
              </w:rPr>
            </w:pPr>
            <w:r w:rsidRPr="008943A8">
              <w:rPr>
                <w:rFonts w:ascii="Calibri" w:hAnsi="Calibri"/>
                <w:bCs/>
                <w:color w:val="000000"/>
                <w:sz w:val="18"/>
                <w:szCs w:val="18"/>
              </w:rPr>
              <w:t>72</w:t>
            </w:r>
            <w:r>
              <w:rPr>
                <w:rFonts w:ascii="Calibri" w:hAnsi="Calibri"/>
                <w:bCs/>
                <w:color w:val="000000"/>
                <w:sz w:val="18"/>
                <w:szCs w:val="18"/>
              </w:rPr>
              <w:t>,</w:t>
            </w:r>
            <w:r w:rsidRPr="008943A8">
              <w:rPr>
                <w:rFonts w:ascii="Calibri" w:hAnsi="Calibri"/>
                <w:bCs/>
                <w:color w:val="000000"/>
                <w:sz w:val="18"/>
                <w:szCs w:val="18"/>
              </w:rPr>
              <w:t>395</w:t>
            </w:r>
            <w:r>
              <w:rPr>
                <w:rFonts w:ascii="Calibri" w:hAnsi="Calibri"/>
                <w:bCs/>
                <w:color w:val="000000"/>
                <w:sz w:val="18"/>
                <w:szCs w:val="18"/>
              </w:rPr>
              <w:t>,</w:t>
            </w:r>
            <w:r w:rsidRPr="008943A8">
              <w:rPr>
                <w:rFonts w:ascii="Calibri" w:hAnsi="Calibri"/>
                <w:bCs/>
                <w:color w:val="000000"/>
                <w:sz w:val="18"/>
                <w:szCs w:val="18"/>
              </w:rPr>
              <w:t>079</w:t>
            </w:r>
          </w:p>
        </w:tc>
        <w:tc>
          <w:tcPr>
            <w:tcW w:w="2180" w:type="dxa"/>
            <w:tcBorders>
              <w:top w:val="nil"/>
              <w:left w:val="nil"/>
              <w:bottom w:val="nil"/>
              <w:right w:val="single" w:sz="4" w:space="0" w:color="auto"/>
            </w:tcBorders>
            <w:shd w:val="clear" w:color="auto" w:fill="auto"/>
            <w:vAlign w:val="center"/>
            <w:hideMark/>
          </w:tcPr>
          <w:p w:rsidR="006642DB" w:rsidRPr="008943A8" w:rsidRDefault="00A208E2">
            <w:pPr>
              <w:jc w:val="center"/>
              <w:rPr>
                <w:rFonts w:ascii="Calibri" w:hAnsi="Calibri"/>
                <w:bCs/>
                <w:color w:val="000000"/>
                <w:sz w:val="18"/>
                <w:szCs w:val="18"/>
              </w:rPr>
            </w:pPr>
            <w:r>
              <w:rPr>
                <w:rFonts w:ascii="Calibri" w:hAnsi="Calibri"/>
                <w:bCs/>
                <w:color w:val="000000"/>
                <w:sz w:val="18"/>
                <w:szCs w:val="18"/>
              </w:rPr>
              <w:t>T</w:t>
            </w:r>
            <w:r w:rsidR="006B5715">
              <w:rPr>
                <w:rFonts w:ascii="Calibri" w:hAnsi="Calibri"/>
                <w:bCs/>
                <w:color w:val="000000"/>
                <w:sz w:val="18"/>
                <w:szCs w:val="18"/>
              </w:rPr>
              <w:t>I</w:t>
            </w:r>
            <w:r>
              <w:rPr>
                <w:rFonts w:ascii="Calibri" w:hAnsi="Calibri"/>
                <w:bCs/>
                <w:color w:val="000000"/>
                <w:sz w:val="18"/>
                <w:szCs w:val="18"/>
              </w:rPr>
              <w:t>IE + 1.70</w:t>
            </w:r>
          </w:p>
        </w:tc>
        <w:tc>
          <w:tcPr>
            <w:tcW w:w="2180" w:type="dxa"/>
            <w:tcBorders>
              <w:top w:val="nil"/>
              <w:left w:val="nil"/>
              <w:bottom w:val="nil"/>
              <w:right w:val="single" w:sz="4" w:space="0" w:color="auto"/>
            </w:tcBorders>
            <w:shd w:val="clear" w:color="auto" w:fill="auto"/>
            <w:vAlign w:val="center"/>
            <w:hideMark/>
          </w:tcPr>
          <w:p w:rsidR="006642DB" w:rsidRPr="008943A8" w:rsidRDefault="00A208E2">
            <w:pPr>
              <w:jc w:val="center"/>
              <w:rPr>
                <w:rFonts w:ascii="Calibri" w:hAnsi="Calibri"/>
                <w:bCs/>
                <w:color w:val="000000"/>
                <w:sz w:val="18"/>
                <w:szCs w:val="18"/>
              </w:rPr>
            </w:pPr>
            <w:r>
              <w:rPr>
                <w:rFonts w:ascii="Calibri" w:hAnsi="Calibri"/>
                <w:bCs/>
                <w:color w:val="000000"/>
                <w:sz w:val="18"/>
                <w:szCs w:val="18"/>
              </w:rPr>
              <w:t>23/10/2027</w:t>
            </w:r>
          </w:p>
        </w:tc>
      </w:tr>
      <w:tr w:rsidR="006033FC" w:rsidTr="008751F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6033FC" w:rsidRDefault="006033FC" w:rsidP="006033FC">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auto"/>
            <w:vAlign w:val="center"/>
          </w:tcPr>
          <w:p w:rsidR="006033FC" w:rsidRPr="008943A8" w:rsidRDefault="006033FC" w:rsidP="006033FC">
            <w:pPr>
              <w:jc w:val="center"/>
              <w:rPr>
                <w:rFonts w:ascii="Calibri" w:hAnsi="Calibri"/>
                <w:bCs/>
                <w:color w:val="000000"/>
                <w:sz w:val="18"/>
                <w:szCs w:val="18"/>
              </w:rPr>
            </w:pPr>
            <w:r>
              <w:rPr>
                <w:rFonts w:ascii="Calibri" w:hAnsi="Calibri"/>
                <w:bCs/>
                <w:color w:val="000000"/>
                <w:sz w:val="18"/>
                <w:szCs w:val="18"/>
              </w:rPr>
              <w:t>Contrato BANOBRAS</w:t>
            </w:r>
          </w:p>
        </w:tc>
        <w:tc>
          <w:tcPr>
            <w:tcW w:w="2180" w:type="dxa"/>
            <w:tcBorders>
              <w:top w:val="nil"/>
              <w:left w:val="nil"/>
              <w:bottom w:val="single" w:sz="4" w:space="0" w:color="auto"/>
              <w:right w:val="single" w:sz="4" w:space="0" w:color="auto"/>
            </w:tcBorders>
            <w:shd w:val="clear" w:color="auto" w:fill="auto"/>
            <w:vAlign w:val="center"/>
          </w:tcPr>
          <w:p w:rsidR="006033FC" w:rsidRPr="008943A8" w:rsidRDefault="006033FC" w:rsidP="006033FC">
            <w:pPr>
              <w:jc w:val="right"/>
              <w:rPr>
                <w:rFonts w:ascii="Calibri" w:hAnsi="Calibri"/>
                <w:bCs/>
                <w:color w:val="000000"/>
                <w:sz w:val="18"/>
                <w:szCs w:val="18"/>
              </w:rPr>
            </w:pPr>
            <w:r w:rsidRPr="008943A8">
              <w:rPr>
                <w:rFonts w:ascii="Calibri" w:hAnsi="Calibri"/>
                <w:bCs/>
                <w:color w:val="000000"/>
                <w:sz w:val="18"/>
                <w:szCs w:val="18"/>
              </w:rPr>
              <w:t>65,842,628</w:t>
            </w:r>
          </w:p>
        </w:tc>
        <w:tc>
          <w:tcPr>
            <w:tcW w:w="2180" w:type="dxa"/>
            <w:tcBorders>
              <w:top w:val="nil"/>
              <w:left w:val="nil"/>
              <w:bottom w:val="single" w:sz="4" w:space="0" w:color="auto"/>
              <w:right w:val="single" w:sz="4" w:space="0" w:color="auto"/>
            </w:tcBorders>
            <w:shd w:val="clear" w:color="auto" w:fill="auto"/>
            <w:vAlign w:val="center"/>
          </w:tcPr>
          <w:p w:rsidR="006033FC" w:rsidRPr="008943A8" w:rsidRDefault="006033FC" w:rsidP="006033FC">
            <w:pPr>
              <w:jc w:val="center"/>
              <w:rPr>
                <w:rFonts w:ascii="Calibri" w:hAnsi="Calibri"/>
                <w:bCs/>
                <w:color w:val="000000"/>
                <w:sz w:val="18"/>
                <w:szCs w:val="18"/>
              </w:rPr>
            </w:pPr>
            <w:r>
              <w:rPr>
                <w:rFonts w:ascii="Calibri" w:hAnsi="Calibri"/>
                <w:bCs/>
                <w:color w:val="000000"/>
                <w:sz w:val="18"/>
                <w:szCs w:val="18"/>
              </w:rPr>
              <w:t>TIIE + 2.77</w:t>
            </w:r>
          </w:p>
        </w:tc>
        <w:tc>
          <w:tcPr>
            <w:tcW w:w="2180" w:type="dxa"/>
            <w:tcBorders>
              <w:top w:val="nil"/>
              <w:left w:val="nil"/>
              <w:bottom w:val="single" w:sz="4" w:space="0" w:color="auto"/>
              <w:right w:val="single" w:sz="4" w:space="0" w:color="auto"/>
            </w:tcBorders>
            <w:shd w:val="clear" w:color="auto" w:fill="auto"/>
            <w:vAlign w:val="center"/>
          </w:tcPr>
          <w:p w:rsidR="006033FC" w:rsidRPr="008943A8" w:rsidRDefault="006033FC" w:rsidP="006033FC">
            <w:pPr>
              <w:jc w:val="center"/>
              <w:rPr>
                <w:rFonts w:ascii="Calibri" w:hAnsi="Calibri"/>
                <w:bCs/>
                <w:color w:val="000000"/>
                <w:sz w:val="18"/>
                <w:szCs w:val="18"/>
              </w:rPr>
            </w:pPr>
            <w:r>
              <w:rPr>
                <w:rFonts w:ascii="Calibri" w:hAnsi="Calibri"/>
                <w:bCs/>
                <w:color w:val="000000"/>
                <w:sz w:val="18"/>
                <w:szCs w:val="18"/>
              </w:rPr>
              <w:t>01/09/2035</w:t>
            </w:r>
          </w:p>
        </w:tc>
      </w:tr>
    </w:tbl>
    <w:p w:rsidR="00502074" w:rsidRDefault="008751F2" w:rsidP="006033FC">
      <w:pPr>
        <w:pStyle w:val="Prrafodelista"/>
        <w:numPr>
          <w:ilvl w:val="0"/>
          <w:numId w:val="20"/>
        </w:numPr>
        <w:spacing w:before="80" w:line="250" w:lineRule="exact"/>
        <w:jc w:val="both"/>
        <w:rPr>
          <w:rFonts w:ascii="Arial" w:eastAsia="Calibri" w:hAnsi="Arial" w:cs="Arial"/>
          <w:spacing w:val="-1"/>
          <w:sz w:val="17"/>
          <w:szCs w:val="17"/>
        </w:rPr>
      </w:pPr>
      <w:r w:rsidRPr="006033FC">
        <w:rPr>
          <w:rFonts w:ascii="Arial" w:eastAsia="Calibri" w:hAnsi="Arial" w:cs="Arial"/>
          <w:spacing w:val="-1"/>
          <w:sz w:val="17"/>
          <w:szCs w:val="17"/>
        </w:rPr>
        <w:t xml:space="preserve">Representa un importe de </w:t>
      </w:r>
      <w:r w:rsidR="00A64AB2" w:rsidRPr="006033FC">
        <w:rPr>
          <w:rFonts w:ascii="Arial" w:eastAsia="Calibri" w:hAnsi="Arial" w:cs="Arial"/>
          <w:spacing w:val="-1"/>
          <w:sz w:val="17"/>
          <w:szCs w:val="17"/>
        </w:rPr>
        <w:t>hasta 72,395,079 por concepto de contraprestaci</w:t>
      </w:r>
      <w:r w:rsidR="006033FC">
        <w:rPr>
          <w:rFonts w:ascii="Arial" w:eastAsia="Calibri" w:hAnsi="Arial" w:cs="Arial"/>
          <w:spacing w:val="-1"/>
          <w:sz w:val="17"/>
          <w:szCs w:val="17"/>
        </w:rPr>
        <w:t>ón de servicio del Acueducto II, por el ejercicio fiscal siguiente.</w:t>
      </w:r>
    </w:p>
    <w:p w:rsidR="006033FC" w:rsidRPr="006033FC" w:rsidRDefault="006033FC" w:rsidP="006033FC">
      <w:pPr>
        <w:spacing w:before="80" w:line="250" w:lineRule="exact"/>
        <w:ind w:left="360"/>
        <w:jc w:val="both"/>
        <w:rPr>
          <w:rFonts w:ascii="Arial" w:eastAsia="Calibri" w:hAnsi="Arial" w:cs="Arial"/>
          <w:spacing w:val="-1"/>
          <w:sz w:val="17"/>
          <w:szCs w:val="17"/>
        </w:rPr>
      </w:pPr>
    </w:p>
    <w:p w:rsidR="006033FC" w:rsidRPr="006033FC" w:rsidRDefault="006033FC" w:rsidP="006033FC">
      <w:pPr>
        <w:pStyle w:val="Prrafodelista"/>
        <w:numPr>
          <w:ilvl w:val="0"/>
          <w:numId w:val="20"/>
        </w:numPr>
        <w:spacing w:before="80" w:line="250" w:lineRule="exact"/>
        <w:jc w:val="both"/>
        <w:rPr>
          <w:rFonts w:ascii="Arial" w:eastAsia="Calibri" w:hAnsi="Arial" w:cs="Arial"/>
          <w:spacing w:val="-1"/>
          <w:sz w:val="17"/>
          <w:szCs w:val="17"/>
        </w:rPr>
      </w:pPr>
      <w:r w:rsidRPr="006033FC">
        <w:rPr>
          <w:rFonts w:ascii="Arial" w:eastAsia="Calibri" w:hAnsi="Arial" w:cs="Arial"/>
          <w:spacing w:val="-1"/>
          <w:sz w:val="17"/>
          <w:szCs w:val="17"/>
        </w:rPr>
        <w:t>Contrato de crédito para cubrir al Desarrollador Inmobiliario una determinada cantidad de dinero como contraprestación para el caso de que los edificios construidos por este último en el Parque Aeroespacial de Querétaro dejen de generar rentas por no tener arrendatario, siempre que no sea por causa imputable al Desarrollador Inmobiliario, con la finalidad de que este último recupere parcialmente la inversión realizada por la construcción de inmuebles en terrenos del Poder Ejecutivo del Estado de Querétaro, cuyas edificaciones pasarán a ser propiedad de este último, como propietario de los terrenos.</w:t>
      </w: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w:t>
      </w:r>
      <w:r w:rsidR="00AF3061">
        <w:rPr>
          <w:rFonts w:ascii="Arial" w:eastAsia="Calibri" w:hAnsi="Arial" w:cs="Arial"/>
          <w:spacing w:val="-1"/>
          <w:sz w:val="17"/>
          <w:szCs w:val="17"/>
        </w:rPr>
        <w:t xml:space="preserve">ey </w:t>
      </w:r>
      <w:r w:rsidR="002B5A44">
        <w:rPr>
          <w:rFonts w:ascii="Arial" w:eastAsia="Calibri" w:hAnsi="Arial" w:cs="Arial"/>
          <w:spacing w:val="-1"/>
          <w:sz w:val="17"/>
          <w:szCs w:val="17"/>
        </w:rPr>
        <w:t>G</w:t>
      </w:r>
      <w:r w:rsidR="00AF3061">
        <w:rPr>
          <w:rFonts w:ascii="Arial" w:eastAsia="Calibri" w:hAnsi="Arial" w:cs="Arial"/>
          <w:spacing w:val="-1"/>
          <w:sz w:val="17"/>
          <w:szCs w:val="17"/>
        </w:rPr>
        <w:t xml:space="preserve">eneral de </w:t>
      </w:r>
      <w:r w:rsidR="002B5A44">
        <w:rPr>
          <w:rFonts w:ascii="Arial" w:eastAsia="Calibri" w:hAnsi="Arial" w:cs="Arial"/>
          <w:spacing w:val="-1"/>
          <w:sz w:val="17"/>
          <w:szCs w:val="17"/>
        </w:rPr>
        <w:t>C</w:t>
      </w:r>
      <w:r w:rsidR="00AF3061">
        <w:rPr>
          <w:rFonts w:ascii="Arial" w:eastAsia="Calibri" w:hAnsi="Arial" w:cs="Arial"/>
          <w:spacing w:val="-1"/>
          <w:sz w:val="17"/>
          <w:szCs w:val="17"/>
        </w:rPr>
        <w:t xml:space="preserve">ontabilidad </w:t>
      </w:r>
      <w:r w:rsidR="002B5A44">
        <w:rPr>
          <w:rFonts w:ascii="Arial" w:eastAsia="Calibri" w:hAnsi="Arial" w:cs="Arial"/>
          <w:spacing w:val="-1"/>
          <w:sz w:val="17"/>
          <w:szCs w:val="17"/>
        </w:rPr>
        <w:t>G</w:t>
      </w:r>
      <w:r w:rsidR="00AF3061">
        <w:rPr>
          <w:rFonts w:ascii="Arial" w:eastAsia="Calibri" w:hAnsi="Arial" w:cs="Arial"/>
          <w:spacing w:val="-1"/>
          <w:sz w:val="17"/>
          <w:szCs w:val="17"/>
        </w:rPr>
        <w:t>ubernamental</w:t>
      </w:r>
      <w:r w:rsidR="002B5A44">
        <w:rPr>
          <w:rFonts w:ascii="Arial" w:eastAsia="Calibri" w:hAnsi="Arial" w:cs="Arial"/>
          <w:spacing w:val="-1"/>
          <w:sz w:val="17"/>
          <w:szCs w:val="17"/>
        </w:rPr>
        <w:t>:</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42C7E" w:rsidTr="00E42C7E">
        <w:trPr>
          <w:trHeight w:val="240"/>
          <w:jc w:val="center"/>
        </w:trPr>
        <w:tc>
          <w:tcPr>
            <w:tcW w:w="490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E42C7E" w:rsidRDefault="00E42C7E">
            <w:pPr>
              <w:rPr>
                <w:rFonts w:ascii="Calibri" w:hAnsi="Calibri"/>
                <w:b/>
                <w:bCs/>
                <w:color w:val="000000"/>
                <w:sz w:val="18"/>
                <w:szCs w:val="18"/>
              </w:rPr>
            </w:pPr>
            <w:r>
              <w:rPr>
                <w:rFonts w:ascii="Calibri" w:hAnsi="Calibri"/>
                <w:b/>
                <w:bCs/>
                <w:color w:val="000000"/>
                <w:sz w:val="18"/>
                <w:szCs w:val="18"/>
              </w:rPr>
              <w:t> </w:t>
            </w:r>
          </w:p>
        </w:tc>
      </w:tr>
      <w:tr w:rsidR="00E42C7E"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42C7E" w:rsidRDefault="00E42C7E">
            <w:pPr>
              <w:jc w:val="center"/>
              <w:rPr>
                <w:rFonts w:ascii="Calibri" w:hAnsi="Calibri"/>
                <w:b/>
                <w:bCs/>
                <w:color w:val="000000"/>
                <w:sz w:val="18"/>
                <w:szCs w:val="18"/>
              </w:rPr>
            </w:pPr>
            <w:r>
              <w:rPr>
                <w:rFonts w:ascii="Calibri" w:hAnsi="Calibri"/>
                <w:b/>
                <w:bCs/>
                <w:color w:val="000000"/>
                <w:sz w:val="18"/>
                <w:szCs w:val="18"/>
              </w:rPr>
              <w:t>MONTO</w:t>
            </w:r>
          </w:p>
        </w:tc>
      </w:tr>
      <w:tr w:rsidR="00E42C7E"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Default="00E42C7E">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062DAE" w:rsidRDefault="00E42C7E">
            <w:pPr>
              <w:jc w:val="center"/>
              <w:rPr>
                <w:rFonts w:ascii="Calibri" w:hAnsi="Calibri"/>
                <w:bCs/>
                <w:color w:val="000000"/>
                <w:sz w:val="18"/>
                <w:szCs w:val="18"/>
              </w:rPr>
            </w:pPr>
            <w:r>
              <w:rPr>
                <w:rFonts w:ascii="Calibri" w:hAnsi="Calibri"/>
                <w:bCs/>
                <w:color w:val="000000"/>
                <w:sz w:val="18"/>
                <w:szCs w:val="18"/>
              </w:rPr>
              <w:t>Artístico</w:t>
            </w:r>
          </w:p>
        </w:tc>
        <w:tc>
          <w:tcPr>
            <w:tcW w:w="2180" w:type="dxa"/>
            <w:tcBorders>
              <w:top w:val="nil"/>
              <w:left w:val="nil"/>
              <w:bottom w:val="single" w:sz="4" w:space="0" w:color="auto"/>
              <w:right w:val="single" w:sz="4" w:space="0" w:color="auto"/>
            </w:tcBorders>
            <w:shd w:val="clear" w:color="auto" w:fill="auto"/>
            <w:vAlign w:val="center"/>
          </w:tcPr>
          <w:p w:rsidR="00E42C7E" w:rsidRPr="00062DAE" w:rsidRDefault="00E42C7E" w:rsidP="00695EF7">
            <w:pPr>
              <w:jc w:val="right"/>
              <w:rPr>
                <w:rFonts w:ascii="Calibri" w:hAnsi="Calibri"/>
                <w:bCs/>
                <w:color w:val="000000"/>
                <w:sz w:val="18"/>
                <w:szCs w:val="18"/>
              </w:rPr>
            </w:pPr>
            <w:r>
              <w:rPr>
                <w:rFonts w:ascii="Calibri" w:hAnsi="Calibri"/>
                <w:bCs/>
                <w:color w:val="000000"/>
                <w:sz w:val="18"/>
                <w:szCs w:val="18"/>
              </w:rPr>
              <w:t>33.00</w:t>
            </w:r>
          </w:p>
        </w:tc>
      </w:tr>
      <w:tr w:rsidR="00E42C7E"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Default="00E42C7E">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062DAE" w:rsidRDefault="00E42C7E">
            <w:pPr>
              <w:jc w:val="center"/>
              <w:rPr>
                <w:rFonts w:ascii="Calibri" w:hAnsi="Calibri"/>
                <w:bCs/>
                <w:color w:val="000000"/>
                <w:sz w:val="18"/>
                <w:szCs w:val="18"/>
              </w:rPr>
            </w:pPr>
            <w:r w:rsidRPr="00062DAE">
              <w:rPr>
                <w:rFonts w:ascii="Calibri" w:hAnsi="Calibri"/>
                <w:bCs/>
                <w:color w:val="000000"/>
                <w:sz w:val="18"/>
                <w:szCs w:val="18"/>
              </w:rPr>
              <w:t>Mueble</w:t>
            </w:r>
          </w:p>
        </w:tc>
        <w:tc>
          <w:tcPr>
            <w:tcW w:w="2180" w:type="dxa"/>
            <w:tcBorders>
              <w:top w:val="nil"/>
              <w:left w:val="nil"/>
              <w:bottom w:val="single" w:sz="4" w:space="0" w:color="auto"/>
              <w:right w:val="single" w:sz="4" w:space="0" w:color="auto"/>
            </w:tcBorders>
            <w:shd w:val="clear" w:color="auto" w:fill="auto"/>
            <w:vAlign w:val="center"/>
          </w:tcPr>
          <w:p w:rsidR="00E42C7E" w:rsidRPr="00062DAE" w:rsidRDefault="00E42C7E">
            <w:pPr>
              <w:jc w:val="right"/>
              <w:rPr>
                <w:rFonts w:ascii="Calibri" w:hAnsi="Calibri"/>
                <w:bCs/>
                <w:color w:val="000000"/>
                <w:sz w:val="18"/>
                <w:szCs w:val="18"/>
              </w:rPr>
            </w:pPr>
            <w:r>
              <w:rPr>
                <w:rFonts w:ascii="Calibri" w:hAnsi="Calibri"/>
                <w:bCs/>
                <w:color w:val="000000"/>
                <w:sz w:val="18"/>
                <w:szCs w:val="18"/>
              </w:rPr>
              <w:t>44</w:t>
            </w:r>
            <w:r w:rsidRPr="00062DAE">
              <w:rPr>
                <w:rFonts w:ascii="Calibri" w:hAnsi="Calibri"/>
                <w:bCs/>
                <w:color w:val="000000"/>
                <w:sz w:val="18"/>
                <w:szCs w:val="18"/>
              </w:rPr>
              <w:t>.00</w:t>
            </w:r>
          </w:p>
        </w:tc>
      </w:tr>
      <w:tr w:rsidR="00E42C7E"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Default="00E42C7E">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auto"/>
            <w:vAlign w:val="center"/>
            <w:hideMark/>
          </w:tcPr>
          <w:p w:rsidR="00E42C7E" w:rsidRPr="00062DAE" w:rsidRDefault="00E42C7E">
            <w:pPr>
              <w:jc w:val="center"/>
              <w:rPr>
                <w:rFonts w:ascii="Calibri" w:hAnsi="Calibri"/>
                <w:bCs/>
                <w:color w:val="000000"/>
                <w:sz w:val="18"/>
                <w:szCs w:val="18"/>
              </w:rPr>
            </w:pPr>
            <w:r>
              <w:rPr>
                <w:rFonts w:ascii="Calibri" w:hAnsi="Calibri"/>
                <w:bCs/>
                <w:color w:val="000000"/>
                <w:sz w:val="18"/>
                <w:szCs w:val="18"/>
              </w:rPr>
              <w:t>Inmuebles</w:t>
            </w:r>
          </w:p>
        </w:tc>
        <w:tc>
          <w:tcPr>
            <w:tcW w:w="2180" w:type="dxa"/>
            <w:tcBorders>
              <w:top w:val="nil"/>
              <w:left w:val="nil"/>
              <w:bottom w:val="single" w:sz="4" w:space="0" w:color="auto"/>
              <w:right w:val="single" w:sz="4" w:space="0" w:color="auto"/>
            </w:tcBorders>
            <w:shd w:val="clear" w:color="auto" w:fill="auto"/>
            <w:vAlign w:val="center"/>
          </w:tcPr>
          <w:p w:rsidR="00E42C7E" w:rsidRPr="00062DAE" w:rsidRDefault="00E42C7E" w:rsidP="00F3054A">
            <w:pPr>
              <w:jc w:val="right"/>
              <w:rPr>
                <w:rFonts w:ascii="Calibri" w:hAnsi="Calibri"/>
                <w:bCs/>
                <w:color w:val="000000"/>
                <w:sz w:val="18"/>
                <w:szCs w:val="18"/>
              </w:rPr>
            </w:pPr>
            <w:r>
              <w:rPr>
                <w:rFonts w:ascii="Calibri" w:hAnsi="Calibri"/>
                <w:bCs/>
                <w:color w:val="000000"/>
                <w:sz w:val="18"/>
                <w:szCs w:val="18"/>
              </w:rPr>
              <w:t>609,136,628.51</w:t>
            </w:r>
          </w:p>
        </w:tc>
      </w:tr>
      <w:tr w:rsidR="00E42C7E"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2C7E" w:rsidRDefault="00E42C7E">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auto"/>
            <w:vAlign w:val="center"/>
            <w:hideMark/>
          </w:tcPr>
          <w:p w:rsidR="00E42C7E" w:rsidRPr="00062DAE" w:rsidRDefault="00E42C7E">
            <w:pPr>
              <w:jc w:val="center"/>
              <w:rPr>
                <w:rFonts w:ascii="Calibri" w:hAnsi="Calibri"/>
                <w:bCs/>
                <w:color w:val="000000"/>
                <w:sz w:val="18"/>
                <w:szCs w:val="18"/>
              </w:rPr>
            </w:pPr>
            <w:r>
              <w:rPr>
                <w:rFonts w:ascii="Calibri" w:hAnsi="Calibri"/>
                <w:bCs/>
                <w:color w:val="000000"/>
                <w:sz w:val="18"/>
                <w:szCs w:val="18"/>
              </w:rPr>
              <w:t>Documentos</w:t>
            </w:r>
          </w:p>
        </w:tc>
        <w:tc>
          <w:tcPr>
            <w:tcW w:w="2180" w:type="dxa"/>
            <w:tcBorders>
              <w:top w:val="nil"/>
              <w:left w:val="nil"/>
              <w:bottom w:val="single" w:sz="4" w:space="0" w:color="auto"/>
              <w:right w:val="single" w:sz="4" w:space="0" w:color="auto"/>
            </w:tcBorders>
            <w:shd w:val="clear" w:color="auto" w:fill="auto"/>
            <w:vAlign w:val="center"/>
          </w:tcPr>
          <w:p w:rsidR="00E42C7E" w:rsidRPr="00062DAE" w:rsidRDefault="00E42C7E">
            <w:pPr>
              <w:jc w:val="right"/>
              <w:rPr>
                <w:rFonts w:ascii="Calibri" w:hAnsi="Calibri"/>
                <w:bCs/>
                <w:color w:val="000000"/>
                <w:sz w:val="18"/>
                <w:szCs w:val="18"/>
              </w:rPr>
            </w:pPr>
            <w:r>
              <w:rPr>
                <w:rFonts w:ascii="Calibri" w:hAnsi="Calibri"/>
                <w:bCs/>
                <w:color w:val="000000"/>
                <w:sz w:val="18"/>
                <w:szCs w:val="18"/>
              </w:rPr>
              <w:t>2,088.00</w:t>
            </w:r>
          </w:p>
        </w:tc>
      </w:tr>
    </w:tbl>
    <w:p w:rsidR="002B5A44" w:rsidRDefault="00E42C7E" w:rsidP="00AF13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artísticos muebles; bienes históricos muebles; y los bienes históricos, documentos y expedientes, de conformidad a los </w:t>
      </w:r>
      <w:r w:rsidRPr="00E42C7E">
        <w:rPr>
          <w:rFonts w:ascii="Arial" w:eastAsia="Calibri" w:hAnsi="Arial" w:cs="Arial"/>
          <w:spacing w:val="-1"/>
          <w:sz w:val="17"/>
          <w:szCs w:val="17"/>
        </w:rPr>
        <w:t xml:space="preserve">Lineamientos </w:t>
      </w:r>
      <w:r>
        <w:rPr>
          <w:rFonts w:ascii="Arial" w:eastAsia="Calibri" w:hAnsi="Arial" w:cs="Arial"/>
          <w:spacing w:val="-1"/>
          <w:sz w:val="17"/>
          <w:szCs w:val="17"/>
        </w:rPr>
        <w:t>para e</w:t>
      </w:r>
      <w:r w:rsidRPr="00E42C7E">
        <w:rPr>
          <w:rFonts w:ascii="Arial" w:eastAsia="Calibri" w:hAnsi="Arial" w:cs="Arial"/>
          <w:spacing w:val="-1"/>
          <w:sz w:val="17"/>
          <w:szCs w:val="17"/>
        </w:rPr>
        <w:t>l Registro Auxiliar</w:t>
      </w:r>
      <w:r>
        <w:rPr>
          <w:rFonts w:ascii="Arial" w:eastAsia="Calibri" w:hAnsi="Arial" w:cs="Arial"/>
          <w:spacing w:val="-1"/>
          <w:sz w:val="17"/>
          <w:szCs w:val="17"/>
        </w:rPr>
        <w:t xml:space="preserve"> </w:t>
      </w:r>
      <w:r w:rsidRPr="00E42C7E">
        <w:rPr>
          <w:rFonts w:ascii="Arial" w:eastAsia="Calibri" w:hAnsi="Arial" w:cs="Arial"/>
          <w:spacing w:val="-1"/>
          <w:sz w:val="17"/>
          <w:szCs w:val="17"/>
        </w:rPr>
        <w:t xml:space="preserve">Sujeto </w:t>
      </w:r>
      <w:r>
        <w:rPr>
          <w:rFonts w:ascii="Arial" w:eastAsia="Calibri" w:hAnsi="Arial" w:cs="Arial"/>
          <w:spacing w:val="-1"/>
          <w:sz w:val="17"/>
          <w:szCs w:val="17"/>
        </w:rPr>
        <w:t>a Inventario d</w:t>
      </w:r>
      <w:r w:rsidRPr="00E42C7E">
        <w:rPr>
          <w:rFonts w:ascii="Arial" w:eastAsia="Calibri" w:hAnsi="Arial" w:cs="Arial"/>
          <w:spacing w:val="-1"/>
          <w:sz w:val="17"/>
          <w:szCs w:val="17"/>
        </w:rPr>
        <w:t>e Bienes Arqueológicos,</w:t>
      </w:r>
      <w:r>
        <w:rPr>
          <w:rFonts w:ascii="Arial" w:eastAsia="Calibri" w:hAnsi="Arial" w:cs="Arial"/>
          <w:spacing w:val="-1"/>
          <w:sz w:val="17"/>
          <w:szCs w:val="17"/>
        </w:rPr>
        <w:t xml:space="preserve"> </w:t>
      </w:r>
      <w:r w:rsidRPr="00E42C7E">
        <w:rPr>
          <w:rFonts w:ascii="Arial" w:eastAsia="Calibri" w:hAnsi="Arial" w:cs="Arial"/>
          <w:spacing w:val="-1"/>
          <w:sz w:val="17"/>
          <w:szCs w:val="17"/>
        </w:rPr>
        <w:t xml:space="preserve">Artísticos </w:t>
      </w:r>
      <w:r>
        <w:rPr>
          <w:rFonts w:ascii="Arial" w:eastAsia="Calibri" w:hAnsi="Arial" w:cs="Arial"/>
          <w:spacing w:val="-1"/>
          <w:sz w:val="17"/>
          <w:szCs w:val="17"/>
        </w:rPr>
        <w:t>e</w:t>
      </w:r>
      <w:r w:rsidRPr="00E42C7E">
        <w:rPr>
          <w:rFonts w:ascii="Arial" w:eastAsia="Calibri" w:hAnsi="Arial" w:cs="Arial"/>
          <w:spacing w:val="-1"/>
          <w:sz w:val="17"/>
          <w:szCs w:val="17"/>
        </w:rPr>
        <w:t xml:space="preserve"> Históricos Bajo</w:t>
      </w:r>
      <w:r>
        <w:rPr>
          <w:rFonts w:ascii="Arial" w:eastAsia="Calibri" w:hAnsi="Arial" w:cs="Arial"/>
          <w:spacing w:val="-1"/>
          <w:sz w:val="17"/>
          <w:szCs w:val="17"/>
        </w:rPr>
        <w:t xml:space="preserve"> Custodia de l</w:t>
      </w:r>
      <w:r w:rsidRPr="00E42C7E">
        <w:rPr>
          <w:rFonts w:ascii="Arial" w:eastAsia="Calibri" w:hAnsi="Arial" w:cs="Arial"/>
          <w:spacing w:val="-1"/>
          <w:sz w:val="17"/>
          <w:szCs w:val="17"/>
        </w:rPr>
        <w:t>os Entes Públicos</w:t>
      </w:r>
      <w:r w:rsidR="00F07935">
        <w:rPr>
          <w:rFonts w:ascii="Arial" w:eastAsia="Calibri" w:hAnsi="Arial" w:cs="Arial"/>
          <w:spacing w:val="-1"/>
          <w:sz w:val="17"/>
          <w:szCs w:val="17"/>
        </w:rPr>
        <w:t xml:space="preserve"> emitidos por el Consejo Nacional de Armonización Contable</w:t>
      </w:r>
      <w:r w:rsidR="00AF1366">
        <w:rPr>
          <w:rFonts w:ascii="Arial" w:eastAsia="Calibri" w:hAnsi="Arial" w:cs="Arial"/>
          <w:spacing w:val="-1"/>
          <w:sz w:val="17"/>
          <w:szCs w:val="17"/>
        </w:rPr>
        <w:t xml:space="preserve">, se registran en cuentas de orden al valor de la unidad monetaria </w:t>
      </w:r>
      <w:r w:rsidR="00AF1366" w:rsidRPr="00AF1366">
        <w:rPr>
          <w:rFonts w:ascii="Arial" w:eastAsia="Calibri" w:hAnsi="Arial" w:cs="Arial"/>
          <w:spacing w:val="-1"/>
          <w:sz w:val="17"/>
          <w:szCs w:val="17"/>
        </w:rPr>
        <w:t>(un peso)</w:t>
      </w:r>
      <w:r w:rsidR="00AF1366">
        <w:rPr>
          <w:rFonts w:ascii="Arial" w:eastAsia="Calibri" w:hAnsi="Arial" w:cs="Arial"/>
          <w:spacing w:val="-1"/>
          <w:sz w:val="17"/>
          <w:szCs w:val="17"/>
        </w:rPr>
        <w:t>.</w:t>
      </w:r>
    </w:p>
    <w:p w:rsidR="00AF1366" w:rsidRDefault="00944F9E" w:rsidP="00AF13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b</w:t>
      </w:r>
      <w:r w:rsidRPr="00944F9E">
        <w:rPr>
          <w:rFonts w:ascii="Arial" w:eastAsia="Calibri" w:hAnsi="Arial" w:cs="Arial"/>
          <w:spacing w:val="-1"/>
          <w:sz w:val="17"/>
          <w:szCs w:val="17"/>
        </w:rPr>
        <w:t xml:space="preserve">ienes </w:t>
      </w:r>
      <w:r>
        <w:rPr>
          <w:rFonts w:ascii="Arial" w:eastAsia="Calibri" w:hAnsi="Arial" w:cs="Arial"/>
          <w:spacing w:val="-1"/>
          <w:sz w:val="17"/>
          <w:szCs w:val="17"/>
        </w:rPr>
        <w:t>h</w:t>
      </w:r>
      <w:r w:rsidRPr="00944F9E">
        <w:rPr>
          <w:rFonts w:ascii="Arial" w:eastAsia="Calibri" w:hAnsi="Arial" w:cs="Arial"/>
          <w:spacing w:val="-1"/>
          <w:sz w:val="17"/>
          <w:szCs w:val="17"/>
        </w:rPr>
        <w:t xml:space="preserve">istóricos </w:t>
      </w:r>
      <w:r>
        <w:rPr>
          <w:rFonts w:ascii="Arial" w:eastAsia="Calibri" w:hAnsi="Arial" w:cs="Arial"/>
          <w:spacing w:val="-1"/>
          <w:sz w:val="17"/>
          <w:szCs w:val="17"/>
        </w:rPr>
        <w:t>i</w:t>
      </w:r>
      <w:r w:rsidRPr="00944F9E">
        <w:rPr>
          <w:rFonts w:ascii="Arial" w:eastAsia="Calibri" w:hAnsi="Arial" w:cs="Arial"/>
          <w:spacing w:val="-1"/>
          <w:sz w:val="17"/>
          <w:szCs w:val="17"/>
        </w:rPr>
        <w:t>nmuebles</w:t>
      </w:r>
      <w:r>
        <w:rPr>
          <w:rFonts w:ascii="Arial" w:eastAsia="Calibri" w:hAnsi="Arial" w:cs="Arial"/>
          <w:spacing w:val="-1"/>
          <w:sz w:val="17"/>
          <w:szCs w:val="17"/>
        </w:rPr>
        <w:t xml:space="preserve"> se encuentran registrados a valor catastral.</w:t>
      </w:r>
    </w:p>
    <w:p w:rsidR="00544747" w:rsidRDefault="00544747"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E6460" w:rsidRDefault="00A64AB2">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E6460" w:rsidRDefault="00A64AB2">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w:t>
            </w:r>
            <w:r w:rsidR="00A64AB2">
              <w:rPr>
                <w:rFonts w:ascii="Calibri" w:hAnsi="Calibri"/>
                <w:b/>
                <w:bCs/>
                <w:color w:val="000000"/>
                <w:sz w:val="18"/>
                <w:szCs w:val="18"/>
              </w:rPr>
              <w:t>bservación</w:t>
            </w:r>
          </w:p>
        </w:tc>
      </w:tr>
      <w:tr w:rsidR="002E6460" w:rsidTr="00E821D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auto"/>
            <w:vAlign w:val="center"/>
            <w:hideMark/>
          </w:tcPr>
          <w:p w:rsidR="002E6460" w:rsidRPr="001B007B" w:rsidRDefault="00BD0B72">
            <w:pPr>
              <w:jc w:val="center"/>
              <w:rPr>
                <w:rFonts w:ascii="Calibri" w:hAnsi="Calibri"/>
                <w:bCs/>
                <w:color w:val="000000"/>
                <w:sz w:val="18"/>
                <w:szCs w:val="18"/>
              </w:rPr>
            </w:pPr>
            <w:r>
              <w:rPr>
                <w:rFonts w:ascii="Calibri" w:hAnsi="Calibri"/>
                <w:bCs/>
                <w:color w:val="000000"/>
                <w:sz w:val="18"/>
                <w:szCs w:val="18"/>
              </w:rPr>
              <w:t>FONE, FAM Potenciado</w:t>
            </w:r>
          </w:p>
        </w:tc>
        <w:tc>
          <w:tcPr>
            <w:tcW w:w="2180" w:type="dxa"/>
            <w:tcBorders>
              <w:top w:val="nil"/>
              <w:left w:val="nil"/>
              <w:bottom w:val="single" w:sz="4" w:space="0" w:color="auto"/>
              <w:right w:val="single" w:sz="4" w:space="0" w:color="auto"/>
            </w:tcBorders>
            <w:shd w:val="clear" w:color="auto" w:fill="auto"/>
            <w:vAlign w:val="center"/>
            <w:hideMark/>
          </w:tcPr>
          <w:p w:rsidR="002E6460" w:rsidRPr="001B007B" w:rsidRDefault="00574FA7" w:rsidP="00BD0B72">
            <w:pPr>
              <w:jc w:val="right"/>
              <w:rPr>
                <w:rFonts w:ascii="Calibri" w:hAnsi="Calibri"/>
                <w:bCs/>
                <w:color w:val="000000"/>
                <w:sz w:val="18"/>
                <w:szCs w:val="18"/>
              </w:rPr>
            </w:pPr>
            <w:r w:rsidRPr="00574FA7">
              <w:rPr>
                <w:rFonts w:ascii="Calibri" w:hAnsi="Calibri"/>
                <w:bCs/>
                <w:color w:val="000000"/>
                <w:sz w:val="18"/>
                <w:szCs w:val="18"/>
              </w:rPr>
              <w:t>177,282,064.54</w:t>
            </w:r>
          </w:p>
        </w:tc>
        <w:tc>
          <w:tcPr>
            <w:tcW w:w="2180" w:type="dxa"/>
            <w:tcBorders>
              <w:top w:val="nil"/>
              <w:left w:val="nil"/>
              <w:bottom w:val="single" w:sz="4" w:space="0" w:color="auto"/>
              <w:right w:val="single" w:sz="4" w:space="0" w:color="auto"/>
            </w:tcBorders>
            <w:shd w:val="clear" w:color="auto" w:fill="auto"/>
            <w:vAlign w:val="center"/>
            <w:hideMark/>
          </w:tcPr>
          <w:p w:rsidR="002E6460" w:rsidRPr="001B007B" w:rsidRDefault="00BD0B72" w:rsidP="00F27B49">
            <w:pPr>
              <w:jc w:val="center"/>
              <w:rPr>
                <w:rFonts w:ascii="Calibri" w:hAnsi="Calibri"/>
                <w:bCs/>
                <w:color w:val="000000"/>
                <w:sz w:val="18"/>
                <w:szCs w:val="18"/>
              </w:rPr>
            </w:pPr>
            <w:r>
              <w:rPr>
                <w:rFonts w:ascii="Calibri" w:hAnsi="Calibri"/>
                <w:bCs/>
                <w:color w:val="000000"/>
                <w:sz w:val="18"/>
                <w:szCs w:val="18"/>
              </w:rPr>
              <w:t>USEBEQ, IIFEQ</w:t>
            </w:r>
          </w:p>
        </w:tc>
      </w:tr>
    </w:tbl>
    <w:p w:rsidR="00030DD4" w:rsidRDefault="00030DD4" w:rsidP="00A11F66">
      <w:pPr>
        <w:autoSpaceDE w:val="0"/>
        <w:autoSpaceDN w:val="0"/>
        <w:adjustRightInd w:val="0"/>
        <w:spacing w:before="240" w:after="120"/>
        <w:jc w:val="both"/>
        <w:rPr>
          <w:rFonts w:ascii="Arial" w:hAnsi="Arial" w:cs="Arial"/>
          <w:b/>
          <w:sz w:val="17"/>
          <w:szCs w:val="17"/>
        </w:rPr>
      </w:pPr>
    </w:p>
    <w:p w:rsidR="00030DD4" w:rsidRDefault="00030DD4">
      <w:pPr>
        <w:rPr>
          <w:rFonts w:ascii="Arial" w:hAnsi="Arial" w:cs="Arial"/>
          <w:b/>
          <w:sz w:val="17"/>
          <w:szCs w:val="17"/>
        </w:rPr>
      </w:pPr>
      <w:r>
        <w:rPr>
          <w:rFonts w:ascii="Arial" w:hAnsi="Arial" w:cs="Arial"/>
          <w:b/>
          <w:sz w:val="17"/>
          <w:szCs w:val="17"/>
        </w:rPr>
        <w:br w:type="page"/>
      </w: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lastRenderedPageBreak/>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A64AB2" w:rsidTr="00A64AB2">
        <w:trPr>
          <w:trHeight w:val="240"/>
          <w:jc w:val="center"/>
        </w:trPr>
        <w:tc>
          <w:tcPr>
            <w:tcW w:w="4900" w:type="dxa"/>
            <w:tcBorders>
              <w:top w:val="nil"/>
              <w:left w:val="nil"/>
              <w:bottom w:val="nil"/>
              <w:right w:val="nil"/>
            </w:tcBorders>
            <w:shd w:val="clear" w:color="000000" w:fill="FFFFFF"/>
            <w:vAlign w:val="center"/>
            <w:hideMark/>
          </w:tcPr>
          <w:p w:rsidR="00A64AB2" w:rsidRDefault="00A64AB2">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A64AB2" w:rsidRDefault="00A64AB2">
            <w:pPr>
              <w:rPr>
                <w:rFonts w:ascii="Calibri" w:hAnsi="Calibri"/>
                <w:b/>
                <w:bCs/>
                <w:color w:val="000000"/>
                <w:sz w:val="18"/>
                <w:szCs w:val="18"/>
              </w:rPr>
            </w:pPr>
            <w:r>
              <w:rPr>
                <w:rFonts w:ascii="Calibri" w:hAnsi="Calibri"/>
                <w:b/>
                <w:bCs/>
                <w:color w:val="000000"/>
                <w:sz w:val="18"/>
                <w:szCs w:val="18"/>
              </w:rPr>
              <w:t> </w:t>
            </w:r>
          </w:p>
        </w:tc>
      </w:tr>
      <w:tr w:rsidR="00A64AB2"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AB2" w:rsidRDefault="00A64AB2">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64AB2" w:rsidRDefault="00E821D4">
            <w:pPr>
              <w:jc w:val="center"/>
              <w:rPr>
                <w:rFonts w:ascii="Calibri" w:hAnsi="Calibri"/>
                <w:b/>
                <w:bCs/>
                <w:color w:val="000000"/>
                <w:sz w:val="18"/>
                <w:szCs w:val="18"/>
              </w:rPr>
            </w:pPr>
            <w:r>
              <w:rPr>
                <w:rFonts w:ascii="Calibri" w:hAnsi="Calibri"/>
                <w:b/>
                <w:bCs/>
                <w:color w:val="000000"/>
                <w:sz w:val="18"/>
                <w:szCs w:val="18"/>
              </w:rPr>
              <w:t>Monto</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Ley de Ingresos Estimada</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29,018,226,675.00</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Ley de Ingresos por Ejecutar</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DB45BE">
            <w:pPr>
              <w:jc w:val="right"/>
              <w:rPr>
                <w:rFonts w:ascii="Arial" w:hAnsi="Arial" w:cs="Arial"/>
                <w:bCs/>
                <w:color w:val="000000"/>
                <w:sz w:val="17"/>
                <w:szCs w:val="17"/>
              </w:rPr>
            </w:pPr>
            <w:r w:rsidRPr="001B31A7">
              <w:rPr>
                <w:rFonts w:ascii="Arial" w:hAnsi="Arial" w:cs="Arial"/>
                <w:bCs/>
                <w:color w:val="000000"/>
                <w:sz w:val="17"/>
                <w:szCs w:val="17"/>
              </w:rPr>
              <w:t>-441,005,209.74</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Modificaciones a la Ley de Ingresos Estimada</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5,496,053,429.00</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Ley de Ingresos Devengada</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0.00</w:t>
            </w:r>
          </w:p>
        </w:tc>
      </w:tr>
      <w:tr w:rsidR="00A64AB2" w:rsidTr="00A64A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Ley de Ingresos Recaudada</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1E58AF">
            <w:pPr>
              <w:jc w:val="right"/>
              <w:rPr>
                <w:rFonts w:ascii="Arial" w:hAnsi="Arial" w:cs="Arial"/>
                <w:bCs/>
                <w:color w:val="000000"/>
                <w:sz w:val="17"/>
                <w:szCs w:val="17"/>
              </w:rPr>
            </w:pPr>
            <w:r w:rsidRPr="001B31A7">
              <w:rPr>
                <w:rFonts w:ascii="Arial" w:hAnsi="Arial" w:cs="Arial"/>
                <w:bCs/>
                <w:color w:val="000000"/>
                <w:sz w:val="17"/>
                <w:szCs w:val="17"/>
              </w:rPr>
              <w:t>-34,073,274,894.26</w:t>
            </w:r>
          </w:p>
        </w:tc>
      </w:tr>
      <w:tr w:rsidR="00A64AB2" w:rsidTr="00A64AB2">
        <w:trPr>
          <w:trHeight w:val="240"/>
          <w:jc w:val="center"/>
        </w:trPr>
        <w:tc>
          <w:tcPr>
            <w:tcW w:w="4900" w:type="dxa"/>
            <w:tcBorders>
              <w:top w:val="single" w:sz="4" w:space="0" w:color="auto"/>
              <w:right w:val="single" w:sz="4" w:space="0" w:color="auto"/>
            </w:tcBorders>
            <w:shd w:val="clear" w:color="000000" w:fill="FFFFFF"/>
            <w:vAlign w:val="center"/>
            <w:hideMark/>
          </w:tcPr>
          <w:p w:rsidR="00A64AB2" w:rsidRPr="001B31A7" w:rsidRDefault="00A64AB2" w:rsidP="00C17CE0">
            <w:pPr>
              <w:jc w:val="center"/>
              <w:rPr>
                <w:rFonts w:ascii="Arial" w:hAnsi="Arial" w:cs="Arial"/>
                <w:b/>
                <w:bCs/>
                <w:color w:val="000000"/>
                <w:sz w:val="17"/>
                <w:szCs w:val="17"/>
              </w:rPr>
            </w:pPr>
            <w:r w:rsidRPr="001B31A7">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AB2" w:rsidRPr="001B31A7" w:rsidRDefault="00A64AB2" w:rsidP="00C17CE0">
            <w:pPr>
              <w:jc w:val="right"/>
              <w:rPr>
                <w:rFonts w:ascii="Arial" w:hAnsi="Arial" w:cs="Arial"/>
                <w:b/>
                <w:bCs/>
                <w:color w:val="000000"/>
                <w:sz w:val="17"/>
                <w:szCs w:val="17"/>
              </w:rPr>
            </w:pPr>
            <w:r w:rsidRPr="001B31A7">
              <w:rPr>
                <w:rFonts w:ascii="Arial" w:hAnsi="Arial" w:cs="Arial"/>
                <w:b/>
                <w:bCs/>
                <w:color w:val="000000"/>
                <w:sz w:val="17"/>
                <w:szCs w:val="17"/>
                <w14:numForm w14:val="lining"/>
              </w:rPr>
              <w:fldChar w:fldCharType="begin"/>
            </w:r>
            <w:r w:rsidRPr="001B31A7">
              <w:rPr>
                <w:rFonts w:ascii="Arial" w:hAnsi="Arial" w:cs="Arial"/>
                <w:b/>
                <w:bCs/>
                <w:color w:val="000000"/>
                <w:sz w:val="17"/>
                <w:szCs w:val="17"/>
                <w14:numForm w14:val="lining"/>
              </w:rPr>
              <w:instrText xml:space="preserve"> =sum(below) \# "$#,##0.00;($#,##0.00)" </w:instrText>
            </w:r>
            <w:r w:rsidRPr="001B31A7">
              <w:rPr>
                <w:rFonts w:ascii="Arial" w:hAnsi="Arial" w:cs="Arial"/>
                <w:b/>
                <w:bCs/>
                <w:color w:val="000000"/>
                <w:sz w:val="17"/>
                <w:szCs w:val="17"/>
                <w14:numForm w14:val="lining"/>
              </w:rPr>
              <w:fldChar w:fldCharType="separate"/>
            </w:r>
            <w:r w:rsidRPr="001B31A7">
              <w:rPr>
                <w:rFonts w:ascii="Arial" w:hAnsi="Arial" w:cs="Arial"/>
                <w:b/>
                <w:bCs/>
                <w:noProof/>
                <w:color w:val="000000"/>
                <w:sz w:val="17"/>
                <w:szCs w:val="17"/>
                <w14:numForm w14:val="lining"/>
              </w:rPr>
              <w:t xml:space="preserve">   0.00</w:t>
            </w:r>
            <w:r w:rsidRPr="001B31A7">
              <w:rPr>
                <w:rFonts w:ascii="Arial" w:hAnsi="Arial" w:cs="Arial"/>
                <w:b/>
                <w:bCs/>
                <w:color w:val="000000"/>
                <w:sz w:val="17"/>
                <w:szCs w:val="17"/>
                <w14:numForm w14:val="lining"/>
              </w:rPr>
              <w:fldChar w:fldCharType="end"/>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A64AB2" w:rsidTr="00A64AB2">
        <w:trPr>
          <w:trHeight w:val="240"/>
          <w:jc w:val="center"/>
        </w:trPr>
        <w:tc>
          <w:tcPr>
            <w:tcW w:w="4900" w:type="dxa"/>
            <w:tcBorders>
              <w:top w:val="nil"/>
              <w:left w:val="nil"/>
              <w:bottom w:val="nil"/>
              <w:right w:val="nil"/>
            </w:tcBorders>
            <w:shd w:val="clear" w:color="000000" w:fill="FFFFFF"/>
            <w:vAlign w:val="center"/>
            <w:hideMark/>
          </w:tcPr>
          <w:p w:rsidR="00A64AB2" w:rsidRDefault="00A64AB2"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A64AB2" w:rsidRDefault="00A64AB2" w:rsidP="00AA7547">
            <w:pPr>
              <w:rPr>
                <w:rFonts w:ascii="Calibri" w:hAnsi="Calibri"/>
                <w:b/>
                <w:bCs/>
                <w:color w:val="000000"/>
                <w:sz w:val="18"/>
                <w:szCs w:val="18"/>
              </w:rPr>
            </w:pPr>
            <w:r>
              <w:rPr>
                <w:rFonts w:ascii="Calibri" w:hAnsi="Calibri"/>
                <w:b/>
                <w:bCs/>
                <w:color w:val="000000"/>
                <w:sz w:val="18"/>
                <w:szCs w:val="18"/>
              </w:rPr>
              <w:t> </w:t>
            </w:r>
          </w:p>
        </w:tc>
      </w:tr>
      <w:tr w:rsidR="00A64AB2" w:rsidTr="00E821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64AB2" w:rsidRDefault="00A64AB2"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64AB2" w:rsidRDefault="00E821D4" w:rsidP="00AA7547">
            <w:pPr>
              <w:jc w:val="center"/>
              <w:rPr>
                <w:rFonts w:ascii="Calibri" w:hAnsi="Calibri"/>
                <w:b/>
                <w:bCs/>
                <w:color w:val="000000"/>
                <w:sz w:val="18"/>
                <w:szCs w:val="18"/>
              </w:rPr>
            </w:pPr>
            <w:r>
              <w:rPr>
                <w:rFonts w:ascii="Calibri" w:hAnsi="Calibri"/>
                <w:b/>
                <w:bCs/>
                <w:color w:val="000000"/>
                <w:sz w:val="18"/>
                <w:szCs w:val="18"/>
              </w:rPr>
              <w:t>Monto</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Presupuesto de Egresos Aprobado</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-29,018,226,675.00</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Presupuesto de Egresos por Ejercer</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5,008,483,555.85</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Modificaciones al Presupuesto de Egresos Aprobado</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-7,171,133,074.51</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Presupuesto de Egresos Comprometido</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-808,364.72</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Presupuesto de Egresos Devengado</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88,831.13</w:t>
            </w:r>
          </w:p>
        </w:tc>
      </w:tr>
      <w:tr w:rsidR="00A64AB2" w:rsidTr="00A64AB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Presupuesto de Egresos Ejercido</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0.00</w:t>
            </w:r>
          </w:p>
        </w:tc>
      </w:tr>
      <w:tr w:rsidR="00A64AB2" w:rsidTr="00A64AB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AB2" w:rsidRPr="001B31A7" w:rsidRDefault="00A64AB2" w:rsidP="009E5E02">
            <w:pPr>
              <w:rPr>
                <w:rFonts w:ascii="Arial" w:hAnsi="Arial" w:cs="Arial"/>
                <w:color w:val="000000"/>
                <w:sz w:val="17"/>
                <w:szCs w:val="17"/>
              </w:rPr>
            </w:pPr>
            <w:r w:rsidRPr="001B31A7">
              <w:rPr>
                <w:rFonts w:ascii="Arial" w:hAnsi="Arial" w:cs="Arial"/>
                <w:color w:val="000000"/>
                <w:sz w:val="17"/>
                <w:szCs w:val="17"/>
              </w:rPr>
              <w:t>Presupuesto de Egresos Pagado</w:t>
            </w:r>
          </w:p>
        </w:tc>
        <w:tc>
          <w:tcPr>
            <w:tcW w:w="2180" w:type="dxa"/>
            <w:tcBorders>
              <w:top w:val="nil"/>
              <w:left w:val="nil"/>
              <w:bottom w:val="single" w:sz="4" w:space="0" w:color="auto"/>
              <w:right w:val="single" w:sz="4" w:space="0" w:color="auto"/>
            </w:tcBorders>
            <w:shd w:val="clear" w:color="000000" w:fill="FFFFFF"/>
          </w:tcPr>
          <w:p w:rsidR="00A64AB2" w:rsidRPr="001B31A7" w:rsidRDefault="00A64AB2" w:rsidP="009E5E02">
            <w:pPr>
              <w:jc w:val="right"/>
              <w:rPr>
                <w:rFonts w:ascii="Arial" w:hAnsi="Arial" w:cs="Arial"/>
                <w:bCs/>
                <w:color w:val="000000"/>
                <w:sz w:val="17"/>
                <w:szCs w:val="17"/>
              </w:rPr>
            </w:pPr>
            <w:r w:rsidRPr="001B31A7">
              <w:rPr>
                <w:rFonts w:ascii="Arial" w:hAnsi="Arial" w:cs="Arial"/>
                <w:bCs/>
                <w:color w:val="000000"/>
                <w:sz w:val="17"/>
                <w:szCs w:val="17"/>
              </w:rPr>
              <w:t>31,181,595,727.25</w:t>
            </w:r>
          </w:p>
        </w:tc>
      </w:tr>
      <w:tr w:rsidR="00A64AB2" w:rsidTr="00A64AB2">
        <w:trPr>
          <w:trHeight w:val="240"/>
          <w:jc w:val="center"/>
        </w:trPr>
        <w:tc>
          <w:tcPr>
            <w:tcW w:w="4900" w:type="dxa"/>
            <w:tcBorders>
              <w:top w:val="single" w:sz="4" w:space="0" w:color="auto"/>
              <w:right w:val="single" w:sz="4" w:space="0" w:color="auto"/>
            </w:tcBorders>
            <w:shd w:val="clear" w:color="000000" w:fill="FFFFFF"/>
            <w:vAlign w:val="center"/>
            <w:hideMark/>
          </w:tcPr>
          <w:p w:rsidR="00A64AB2" w:rsidRPr="001B31A7" w:rsidRDefault="00A64AB2" w:rsidP="00AA7547">
            <w:pPr>
              <w:jc w:val="center"/>
              <w:rPr>
                <w:rFonts w:ascii="Arial" w:hAnsi="Arial" w:cs="Arial"/>
                <w:b/>
                <w:bCs/>
                <w:color w:val="000000"/>
                <w:sz w:val="17"/>
                <w:szCs w:val="17"/>
              </w:rPr>
            </w:pPr>
            <w:r w:rsidRPr="001B31A7">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4AB2" w:rsidRPr="001B31A7" w:rsidRDefault="00A64AB2" w:rsidP="00AA7547">
            <w:pPr>
              <w:jc w:val="right"/>
              <w:rPr>
                <w:rFonts w:ascii="Arial" w:hAnsi="Arial" w:cs="Arial"/>
                <w:b/>
                <w:bCs/>
                <w:color w:val="000000"/>
                <w:sz w:val="17"/>
                <w:szCs w:val="17"/>
              </w:rPr>
            </w:pPr>
            <w:r w:rsidRPr="001B31A7">
              <w:rPr>
                <w:rFonts w:ascii="Arial" w:hAnsi="Arial" w:cs="Arial"/>
                <w:b/>
                <w:bCs/>
                <w:color w:val="000000"/>
                <w:sz w:val="17"/>
                <w:szCs w:val="17"/>
                <w14:numForm w14:val="lining"/>
              </w:rPr>
              <w:fldChar w:fldCharType="begin"/>
            </w:r>
            <w:r w:rsidRPr="001B31A7">
              <w:rPr>
                <w:rFonts w:ascii="Arial" w:hAnsi="Arial" w:cs="Arial"/>
                <w:b/>
                <w:bCs/>
                <w:color w:val="000000"/>
                <w:sz w:val="17"/>
                <w:szCs w:val="17"/>
                <w14:numForm w14:val="lining"/>
              </w:rPr>
              <w:instrText xml:space="preserve"> =sum(below) \# "$#,##0.00;($#,##0.00)" </w:instrText>
            </w:r>
            <w:r w:rsidRPr="001B31A7">
              <w:rPr>
                <w:rFonts w:ascii="Arial" w:hAnsi="Arial" w:cs="Arial"/>
                <w:b/>
                <w:bCs/>
                <w:color w:val="000000"/>
                <w:sz w:val="17"/>
                <w:szCs w:val="17"/>
                <w14:numForm w14:val="lining"/>
              </w:rPr>
              <w:fldChar w:fldCharType="separate"/>
            </w:r>
            <w:r w:rsidRPr="001B31A7">
              <w:rPr>
                <w:rFonts w:ascii="Arial" w:hAnsi="Arial" w:cs="Arial"/>
                <w:b/>
                <w:bCs/>
                <w:noProof/>
                <w:color w:val="000000"/>
                <w:sz w:val="17"/>
                <w:szCs w:val="17"/>
                <w14:numForm w14:val="lining"/>
              </w:rPr>
              <w:t xml:space="preserve">   0.00</w:t>
            </w:r>
            <w:r w:rsidRPr="001B31A7">
              <w:rPr>
                <w:rFonts w:ascii="Arial" w:hAnsi="Arial" w:cs="Arial"/>
                <w:b/>
                <w:bCs/>
                <w:color w:val="000000"/>
                <w:sz w:val="17"/>
                <w:szCs w:val="17"/>
                <w14:numForm w14:val="lining"/>
              </w:rPr>
              <w:fldChar w:fldCharType="end"/>
            </w:r>
          </w:p>
        </w:tc>
      </w:tr>
    </w:tbl>
    <w:p w:rsidR="00C17CE0" w:rsidRDefault="00C45332" w:rsidP="000B0AAA">
      <w:pPr>
        <w:spacing w:before="80" w:line="250" w:lineRule="exact"/>
        <w:ind w:left="709"/>
        <w:jc w:val="both"/>
        <w:rPr>
          <w:rFonts w:ascii="Arial" w:eastAsia="Calibri" w:hAnsi="Arial" w:cs="Arial"/>
          <w:spacing w:val="-1"/>
          <w:sz w:val="17"/>
          <w:szCs w:val="17"/>
        </w:rPr>
      </w:pPr>
      <w:r w:rsidRPr="00C45332">
        <w:rPr>
          <w:rFonts w:ascii="Arial" w:eastAsia="Calibri" w:hAnsi="Arial" w:cs="Arial"/>
          <w:spacing w:val="-1"/>
          <w:sz w:val="17"/>
          <w:szCs w:val="17"/>
        </w:rPr>
        <w:t>La diferencia entre las modificaciones a la ley de ingresos estimada y las modificaciones al presupuesto de egresos aprobado</w:t>
      </w:r>
      <w:r>
        <w:rPr>
          <w:rFonts w:ascii="Arial" w:eastAsia="Calibri" w:hAnsi="Arial" w:cs="Arial"/>
          <w:spacing w:val="-1"/>
          <w:sz w:val="17"/>
          <w:szCs w:val="17"/>
        </w:rPr>
        <w:t xml:space="preserve">, es el resultado del remanente de ejercicios anteriores, en cumplimiento al artículo 9 de la Ley para el manejo </w:t>
      </w:r>
      <w:r w:rsidR="006B5715">
        <w:rPr>
          <w:rFonts w:ascii="Arial" w:eastAsia="Calibri" w:hAnsi="Arial" w:cs="Arial"/>
          <w:spacing w:val="-1"/>
          <w:sz w:val="17"/>
          <w:szCs w:val="17"/>
        </w:rPr>
        <w:t>de</w:t>
      </w:r>
      <w:r>
        <w:rPr>
          <w:rFonts w:ascii="Arial" w:eastAsia="Calibri" w:hAnsi="Arial" w:cs="Arial"/>
          <w:spacing w:val="-1"/>
          <w:sz w:val="17"/>
          <w:szCs w:val="17"/>
        </w:rPr>
        <w:t xml:space="preserve"> los recursos públicos del Estado de Querétaro.</w:t>
      </w: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del Poder Ejecutivo del Estado de Querétaro.</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El objetivo del presente documento es la revelación del contexto y de los aspectos económicos-financieros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A67440"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Durante el </w:t>
      </w:r>
      <w:r>
        <w:rPr>
          <w:rFonts w:ascii="Arial" w:eastAsia="Calibri" w:hAnsi="Arial" w:cs="Arial"/>
          <w:spacing w:val="-1"/>
          <w:sz w:val="17"/>
          <w:szCs w:val="17"/>
        </w:rPr>
        <w:t>ejercicio fiscal</w:t>
      </w:r>
      <w:r w:rsidRPr="00797197">
        <w:rPr>
          <w:rFonts w:ascii="Arial" w:eastAsia="Calibri" w:hAnsi="Arial" w:cs="Arial"/>
          <w:spacing w:val="-1"/>
          <w:sz w:val="17"/>
          <w:szCs w:val="17"/>
        </w:rPr>
        <w:t xml:space="preserve"> de 201</w:t>
      </w:r>
      <w:r w:rsidR="00004B62">
        <w:rPr>
          <w:rFonts w:ascii="Arial" w:eastAsia="Calibri" w:hAnsi="Arial" w:cs="Arial"/>
          <w:spacing w:val="-1"/>
          <w:sz w:val="17"/>
          <w:szCs w:val="17"/>
        </w:rPr>
        <w:t>6</w:t>
      </w:r>
      <w:r w:rsidRPr="00797197">
        <w:rPr>
          <w:rFonts w:ascii="Arial" w:eastAsia="Calibri" w:hAnsi="Arial" w:cs="Arial"/>
          <w:spacing w:val="-1"/>
          <w:sz w:val="17"/>
          <w:szCs w:val="17"/>
        </w:rPr>
        <w:t>, el Poder Ejecutivo del Estado de Querétaro oper</w:t>
      </w:r>
      <w:r w:rsidR="00004B62">
        <w:rPr>
          <w:rFonts w:ascii="Arial" w:eastAsia="Calibri" w:hAnsi="Arial" w:cs="Arial"/>
          <w:spacing w:val="-1"/>
          <w:sz w:val="17"/>
          <w:szCs w:val="17"/>
        </w:rPr>
        <w:t>a</w:t>
      </w:r>
      <w:r w:rsidRPr="00797197">
        <w:rPr>
          <w:rFonts w:ascii="Arial" w:eastAsia="Calibri" w:hAnsi="Arial" w:cs="Arial"/>
          <w:spacing w:val="-1"/>
          <w:sz w:val="17"/>
          <w:szCs w:val="17"/>
        </w:rPr>
        <w:t xml:space="preserve"> bajo tres condiciones, </w:t>
      </w:r>
      <w:r w:rsidR="006B5715" w:rsidRPr="00797197">
        <w:rPr>
          <w:rFonts w:ascii="Arial" w:eastAsia="Calibri" w:hAnsi="Arial" w:cs="Arial"/>
          <w:spacing w:val="-1"/>
          <w:sz w:val="17"/>
          <w:szCs w:val="17"/>
        </w:rPr>
        <w:t>que,</w:t>
      </w:r>
      <w:r w:rsidRPr="00797197">
        <w:rPr>
          <w:rFonts w:ascii="Arial" w:eastAsia="Calibri" w:hAnsi="Arial" w:cs="Arial"/>
          <w:spacing w:val="-1"/>
          <w:sz w:val="17"/>
          <w:szCs w:val="17"/>
        </w:rPr>
        <w:t xml:space="preserve"> si bien son de escala mundial, no por ello tiene poca relevancia en el ámbito local en donde se desenvuelve el Gobierno del Estado: 1) la caída del precio del petróleo, 2) la apreciación del dólar frente a otras divisas</w:t>
      </w:r>
      <w:r>
        <w:rPr>
          <w:rFonts w:ascii="Arial" w:eastAsia="Calibri" w:hAnsi="Arial" w:cs="Arial"/>
          <w:spacing w:val="-1"/>
          <w:sz w:val="17"/>
          <w:szCs w:val="17"/>
        </w:rPr>
        <w:t>, en especial con el peso mexicano</w:t>
      </w:r>
      <w:r w:rsidRPr="00797197">
        <w:rPr>
          <w:rFonts w:ascii="Arial" w:eastAsia="Calibri" w:hAnsi="Arial" w:cs="Arial"/>
          <w:spacing w:val="-1"/>
          <w:sz w:val="17"/>
          <w:szCs w:val="17"/>
        </w:rPr>
        <w:t xml:space="preserve"> y 3) la incertidumbre financiera por la inminente subida de las tasas de interés en Estados Unidos.</w:t>
      </w:r>
    </w:p>
    <w:p w:rsid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A pesar de dichos fenómenos que inciden en las operaciones del Poder Ejecutivo, a nivel nacional nuestra entidad federativa se consolidó como líder en el avance en la actividad económica registrado en el Indicador Trimestral de la Actividad Económica Estatal (ITAEE), el cual muestra a Querétaro con el mayor crecimiento </w:t>
      </w:r>
      <w:r w:rsidR="00876865">
        <w:rPr>
          <w:rFonts w:ascii="Arial" w:eastAsia="Calibri" w:hAnsi="Arial" w:cs="Arial"/>
          <w:spacing w:val="-1"/>
          <w:sz w:val="17"/>
          <w:szCs w:val="17"/>
        </w:rPr>
        <w:t>anual</w:t>
      </w:r>
      <w:r w:rsidRPr="00797197">
        <w:rPr>
          <w:rFonts w:ascii="Arial" w:eastAsia="Calibri" w:hAnsi="Arial" w:cs="Arial"/>
          <w:spacing w:val="-1"/>
          <w:sz w:val="17"/>
          <w:szCs w:val="17"/>
        </w:rPr>
        <w:t>, según lo corrobora el siguiente comentario vertido por el Instituto Nacional de Estadística y Geografía (INEGI):</w:t>
      </w:r>
    </w:p>
    <w:p w:rsidR="00797197" w:rsidRDefault="00797197" w:rsidP="00797197">
      <w:pPr>
        <w:spacing w:before="120" w:after="120" w:line="240" w:lineRule="exact"/>
        <w:jc w:val="both"/>
        <w:rPr>
          <w:rFonts w:ascii="Arial" w:eastAsia="Calibri" w:hAnsi="Arial" w:cs="Arial"/>
          <w:spacing w:val="-1"/>
          <w:sz w:val="17"/>
          <w:szCs w:val="17"/>
        </w:rPr>
      </w:pPr>
    </w:p>
    <w:p w:rsidR="00876865" w:rsidRDefault="00876865">
      <w:pPr>
        <w:rPr>
          <w:rFonts w:ascii="Arial" w:hAnsi="Arial" w:cs="Arial"/>
          <w:b/>
          <w:bCs/>
          <w:color w:val="000000"/>
          <w:sz w:val="22"/>
          <w:szCs w:val="34"/>
          <w:shd w:val="clear" w:color="auto" w:fill="FFFFFF"/>
        </w:rPr>
      </w:pPr>
      <w:r>
        <w:rPr>
          <w:rFonts w:ascii="Arial" w:hAnsi="Arial" w:cs="Arial"/>
          <w:b/>
          <w:bCs/>
          <w:color w:val="000000"/>
          <w:sz w:val="22"/>
          <w:szCs w:val="34"/>
          <w:shd w:val="clear" w:color="auto" w:fill="FFFFFF"/>
        </w:rPr>
        <w:br w:type="page"/>
      </w:r>
    </w:p>
    <w:p w:rsidR="00876865" w:rsidRDefault="00206505" w:rsidP="00797197">
      <w:pPr>
        <w:spacing w:before="120" w:after="120" w:line="240" w:lineRule="exact"/>
        <w:jc w:val="both"/>
        <w:rPr>
          <w:rFonts w:ascii="Arial" w:hAnsi="Arial" w:cs="Arial"/>
          <w:b/>
          <w:bCs/>
          <w:color w:val="000000"/>
          <w:sz w:val="22"/>
          <w:szCs w:val="34"/>
          <w:shd w:val="clear" w:color="auto" w:fill="FFFFFF"/>
        </w:rPr>
      </w:pPr>
      <w:r w:rsidRPr="00D53683">
        <w:rPr>
          <w:rFonts w:ascii="Arial" w:eastAsia="Calibri" w:hAnsi="Arial" w:cs="Arial"/>
          <w:noProof/>
          <w:spacing w:val="-1"/>
          <w:sz w:val="17"/>
          <w:szCs w:val="17"/>
        </w:rPr>
        <w:lastRenderedPageBreak/>
        <w:drawing>
          <wp:anchor distT="0" distB="0" distL="114300" distR="114300" simplePos="0" relativeHeight="251658240" behindDoc="0" locked="0" layoutInCell="1" allowOverlap="1">
            <wp:simplePos x="0" y="0"/>
            <wp:positionH relativeFrom="column">
              <wp:posOffset>1604010</wp:posOffset>
            </wp:positionH>
            <wp:positionV relativeFrom="paragraph">
              <wp:posOffset>328295</wp:posOffset>
            </wp:positionV>
            <wp:extent cx="5362575" cy="5304155"/>
            <wp:effectExtent l="0" t="0" r="9525" b="0"/>
            <wp:wrapTopAndBottom/>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2">
                      <a:extLst>
                        <a:ext uri="{28A0092B-C50C-407E-A947-70E740481C1C}">
                          <a14:useLocalDpi xmlns:a14="http://schemas.microsoft.com/office/drawing/2010/main" val="0"/>
                        </a:ext>
                      </a:extLst>
                    </a:blip>
                    <a:srcRect l="29457" t="16409" r="28346" b="9352"/>
                    <a:stretch/>
                  </pic:blipFill>
                  <pic:spPr>
                    <a:xfrm>
                      <a:off x="0" y="0"/>
                      <a:ext cx="5362575" cy="5304155"/>
                    </a:xfrm>
                    <a:prstGeom prst="rect">
                      <a:avLst/>
                    </a:prstGeom>
                  </pic:spPr>
                </pic:pic>
              </a:graphicData>
            </a:graphic>
            <wp14:sizeRelH relativeFrom="page">
              <wp14:pctWidth>0</wp14:pctWidth>
            </wp14:sizeRelH>
            <wp14:sizeRelV relativeFrom="page">
              <wp14:pctHeight>0</wp14:pctHeight>
            </wp14:sizeRelV>
          </wp:anchor>
        </w:drawing>
      </w:r>
      <w:r w:rsidR="00876865" w:rsidRPr="00876865">
        <w:rPr>
          <w:rFonts w:ascii="Arial" w:hAnsi="Arial" w:cs="Arial"/>
          <w:b/>
          <w:bCs/>
          <w:color w:val="000000"/>
          <w:sz w:val="22"/>
          <w:szCs w:val="34"/>
          <w:shd w:val="clear" w:color="auto" w:fill="FFFFFF"/>
        </w:rPr>
        <w:t>Indicador Trimestral de la Actividad Económica Estatal</w:t>
      </w:r>
    </w:p>
    <w:p w:rsidR="00E42FDD" w:rsidRDefault="00E42FDD" w:rsidP="00797197">
      <w:pPr>
        <w:spacing w:before="120" w:after="120" w:line="240" w:lineRule="exact"/>
        <w:jc w:val="both"/>
        <w:rPr>
          <w:rFonts w:ascii="Arial" w:eastAsia="Calibri" w:hAnsi="Arial" w:cs="Arial"/>
          <w:spacing w:val="-1"/>
          <w:sz w:val="17"/>
          <w:szCs w:val="17"/>
        </w:rPr>
      </w:pPr>
    </w:p>
    <w:p w:rsidR="00D53683" w:rsidRDefault="00D53683" w:rsidP="00797197">
      <w:pPr>
        <w:spacing w:before="120" w:after="120" w:line="240" w:lineRule="exact"/>
        <w:jc w:val="both"/>
        <w:rPr>
          <w:rFonts w:ascii="Arial" w:eastAsia="Calibri" w:hAnsi="Arial" w:cs="Arial"/>
          <w:spacing w:val="-1"/>
          <w:sz w:val="17"/>
          <w:szCs w:val="17"/>
        </w:rPr>
      </w:pPr>
    </w:p>
    <w:p w:rsidR="00D53683" w:rsidRDefault="00D53683" w:rsidP="00797197">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El 4 de octubre de 1824 se establece en México la República Federal, la Constitución incluye a Querétaro como Estado de la Federación. Ahora </w:t>
      </w:r>
      <w:r w:rsidR="006B5715" w:rsidRPr="00797197">
        <w:rPr>
          <w:rFonts w:ascii="Arial" w:eastAsia="Calibri" w:hAnsi="Arial" w:cs="Arial"/>
          <w:spacing w:val="-1"/>
          <w:sz w:val="17"/>
          <w:szCs w:val="17"/>
        </w:rPr>
        <w:t>bien,</w:t>
      </w:r>
      <w:r w:rsidRPr="00797197">
        <w:rPr>
          <w:rFonts w:ascii="Arial" w:eastAsia="Calibri" w:hAnsi="Arial" w:cs="Arial"/>
          <w:spacing w:val="-1"/>
          <w:sz w:val="17"/>
          <w:szCs w:val="17"/>
        </w:rPr>
        <w:t xml:space="preserve"> el artículo 1 de la Constitución Política del Estado de Querétaro, establece:</w:t>
      </w:r>
    </w:p>
    <w:p w:rsidR="00797197" w:rsidRPr="002302DE" w:rsidRDefault="00797197" w:rsidP="002302D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sidR="002302DE">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00A70147" w:rsidRPr="00A70147">
        <w:rPr>
          <w:rFonts w:ascii="Arial" w:eastAsia="Calibri" w:hAnsi="Arial" w:cs="Arial"/>
          <w:noProof/>
          <w:spacing w:val="-1"/>
          <w:sz w:val="17"/>
          <w:szCs w:val="17"/>
        </w:rPr>
        <w:t xml:space="preserve"> </w:t>
      </w:r>
    </w:p>
    <w:p w:rsidR="00797197" w:rsidRPr="002302DE" w:rsidRDefault="00797197" w:rsidP="002302D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797197" w:rsidRPr="00797197"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A67440" w:rsidRDefault="00797197" w:rsidP="00797197">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2</w:t>
      </w:r>
      <w:r w:rsidR="00633B0D">
        <w:rPr>
          <w:rFonts w:ascii="Arial" w:eastAsia="Calibri" w:hAnsi="Arial" w:cs="Arial"/>
          <w:spacing w:val="-1"/>
          <w:sz w:val="17"/>
          <w:szCs w:val="17"/>
        </w:rPr>
        <w:t>1</w:t>
      </w:r>
      <w:r w:rsidRPr="00797197">
        <w:rPr>
          <w:rFonts w:ascii="Arial" w:eastAsia="Calibri" w:hAnsi="Arial" w:cs="Arial"/>
          <w:spacing w:val="-1"/>
          <w:sz w:val="17"/>
          <w:szCs w:val="17"/>
        </w:rPr>
        <w:t xml:space="preserve"> de </w:t>
      </w:r>
      <w:r w:rsidR="00633B0D">
        <w:rPr>
          <w:rFonts w:ascii="Arial" w:eastAsia="Calibri" w:hAnsi="Arial" w:cs="Arial"/>
          <w:spacing w:val="-1"/>
          <w:sz w:val="17"/>
          <w:szCs w:val="17"/>
        </w:rPr>
        <w:t>dic</w:t>
      </w:r>
      <w:r w:rsidRPr="00797197">
        <w:rPr>
          <w:rFonts w:ascii="Arial" w:eastAsia="Calibri" w:hAnsi="Arial" w:cs="Arial"/>
          <w:spacing w:val="-1"/>
          <w:sz w:val="17"/>
          <w:szCs w:val="17"/>
        </w:rPr>
        <w:t>iembre de 201</w:t>
      </w:r>
      <w:r w:rsidR="00633B0D">
        <w:rPr>
          <w:rFonts w:ascii="Arial" w:eastAsia="Calibri" w:hAnsi="Arial" w:cs="Arial"/>
          <w:spacing w:val="-1"/>
          <w:sz w:val="17"/>
          <w:szCs w:val="17"/>
        </w:rPr>
        <w:t>6</w:t>
      </w:r>
      <w:r w:rsidRPr="00797197">
        <w:rPr>
          <w:rFonts w:ascii="Arial" w:eastAsia="Calibri" w:hAnsi="Arial" w:cs="Arial"/>
          <w:spacing w:val="-1"/>
          <w:sz w:val="17"/>
          <w:szCs w:val="17"/>
        </w:rPr>
        <w:t>.</w:t>
      </w:r>
    </w:p>
    <w:p w:rsidR="00DA3F3D" w:rsidRDefault="00DA3F3D" w:rsidP="00797197">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w:t>
      </w:r>
      <w:r w:rsidRPr="002302DE">
        <w:rPr>
          <w:rFonts w:ascii="Arial" w:eastAsia="Calibri" w:hAnsi="Arial" w:cs="Arial"/>
          <w:i/>
          <w:spacing w:val="-1"/>
          <w:sz w:val="17"/>
          <w:szCs w:val="17"/>
        </w:rPr>
        <w:lastRenderedPageBreak/>
        <w:t>encuentren en condiciones de desventaja física, mental, social o económica, para facilitarles una vida de mayor calidad, digna, decorosa y su pleno desarrollo…</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2302DE" w:rsidRPr="002302DE" w:rsidRDefault="006B5715"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w:t>
      </w:r>
      <w:r w:rsidR="002302DE" w:rsidRPr="002302DE">
        <w:rPr>
          <w:rFonts w:ascii="Arial" w:eastAsia="Calibri" w:hAnsi="Arial" w:cs="Arial"/>
          <w:spacing w:val="-1"/>
          <w:sz w:val="17"/>
          <w:szCs w:val="17"/>
        </w:rPr>
        <w:t xml:space="preserve"> en el artículo 4, menciona lo siguiente: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00633B0D" w:rsidRPr="00633B0D">
        <w:rPr>
          <w:rFonts w:ascii="Arial" w:eastAsia="Calibri" w:hAnsi="Arial" w:cs="Arial"/>
          <w:i/>
          <w:spacing w:val="-1"/>
          <w:sz w:val="17"/>
          <w:szCs w:val="17"/>
        </w:rPr>
        <w:t>a fomentar la cultura de la legalidad</w:t>
      </w:r>
      <w:r w:rsidR="00633B0D">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2302DE" w:rsidRPr="002302DE" w:rsidRDefault="002302DE" w:rsidP="002302D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2302DE" w:rsidRPr="002302DE" w:rsidRDefault="002302DE" w:rsidP="002302D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2302DE" w:rsidRPr="002302DE" w:rsidRDefault="002302DE" w:rsidP="002302D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El Estado está obligado a implementar las políticas necesarias para hacer efectivo este derecho, en los términos establecidos por la Ley.”</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 xml:space="preserve">Para el desarrollo de las actividades realizadas por el Poder Ejecutivo del Estado de Querétaro, estas se encuentran delimitadas en la Ley Orgánica del Poder Ejecutivo del Estado de Querétaro, en la que se establece su estructura organizacional. </w:t>
      </w:r>
      <w:r w:rsidR="006B5715" w:rsidRPr="002302DE">
        <w:rPr>
          <w:rFonts w:ascii="Arial" w:eastAsia="Calibri" w:hAnsi="Arial" w:cs="Arial"/>
          <w:spacing w:val="-1"/>
          <w:sz w:val="17"/>
          <w:szCs w:val="17"/>
        </w:rPr>
        <w:t>Asimismo,</w:t>
      </w:r>
      <w:r w:rsidRPr="002302DE">
        <w:rPr>
          <w:rFonts w:ascii="Arial" w:eastAsia="Calibri" w:hAnsi="Arial" w:cs="Arial"/>
          <w:spacing w:val="-1"/>
          <w:sz w:val="17"/>
          <w:szCs w:val="17"/>
        </w:rPr>
        <w:t xml:space="preserve"> para la realización de los diversos programas y actividades de gobierno, el ejercicio fiscal de 2015 contempla el periodo comprendido del 1 de enero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2302DE">
        <w:rPr>
          <w:rFonts w:ascii="Arial" w:eastAsia="Calibri" w:hAnsi="Arial" w:cs="Arial"/>
          <w:spacing w:val="-1"/>
          <w:sz w:val="17"/>
          <w:szCs w:val="17"/>
        </w:rPr>
        <w:t>.</w:t>
      </w:r>
    </w:p>
    <w:p w:rsidR="002302DE" w:rsidRPr="002302DE" w:rsidRDefault="002302DE" w:rsidP="002302D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 xml:space="preserve">En cuanto a las obligaciones fiscales del Poder Ejecutivo del Estado de Querétaro, se encuentran establecidos en los diversos ordenamientos legales fiscales tanto de ámbito </w:t>
      </w:r>
      <w:r w:rsidR="006B5715" w:rsidRPr="002302DE">
        <w:rPr>
          <w:rFonts w:ascii="Arial" w:eastAsia="Calibri" w:hAnsi="Arial" w:cs="Arial"/>
          <w:spacing w:val="-1"/>
          <w:sz w:val="17"/>
          <w:szCs w:val="17"/>
        </w:rPr>
        <w:t>federal,</w:t>
      </w:r>
      <w:r w:rsidRPr="002302DE">
        <w:rPr>
          <w:rFonts w:ascii="Arial" w:eastAsia="Calibri" w:hAnsi="Arial" w:cs="Arial"/>
          <w:spacing w:val="-1"/>
          <w:sz w:val="17"/>
          <w:szCs w:val="17"/>
        </w:rPr>
        <w:t xml:space="preserve"> así como en el aspecto local.</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sidR="001E4FC7">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A67440"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caso de</w:t>
      </w:r>
      <w:r>
        <w:rPr>
          <w:rFonts w:ascii="Arial" w:eastAsia="Calibri" w:hAnsi="Arial" w:cs="Arial"/>
          <w:spacing w:val="-1"/>
          <w:sz w:val="17"/>
          <w:szCs w:val="17"/>
        </w:rPr>
        <w:t xml:space="preserve"> </w:t>
      </w:r>
      <w:r w:rsidRPr="00F50AC7">
        <w:rPr>
          <w:rFonts w:ascii="Arial" w:eastAsia="Calibri" w:hAnsi="Arial" w:cs="Arial"/>
          <w:spacing w:val="-1"/>
          <w:sz w:val="17"/>
          <w:szCs w:val="17"/>
        </w:rPr>
        <w:t>l</w:t>
      </w:r>
      <w:r>
        <w:rPr>
          <w:rFonts w:ascii="Arial" w:eastAsia="Calibri" w:hAnsi="Arial" w:cs="Arial"/>
          <w:spacing w:val="-1"/>
          <w:sz w:val="17"/>
          <w:szCs w:val="17"/>
        </w:rPr>
        <w:t>a</w:t>
      </w:r>
      <w:r w:rsidRPr="00F50AC7">
        <w:rPr>
          <w:rFonts w:ascii="Arial" w:eastAsia="Calibri" w:hAnsi="Arial" w:cs="Arial"/>
          <w:spacing w:val="-1"/>
          <w:sz w:val="17"/>
          <w:szCs w:val="17"/>
        </w:rPr>
        <w:t xml:space="preserve"> presente </w:t>
      </w:r>
      <w:r>
        <w:rPr>
          <w:rFonts w:ascii="Arial" w:eastAsia="Calibri" w:hAnsi="Arial" w:cs="Arial"/>
          <w:spacing w:val="-1"/>
          <w:sz w:val="17"/>
          <w:szCs w:val="17"/>
        </w:rPr>
        <w:t>Cuenta Pública del Poder Ejecutivo</w:t>
      </w:r>
      <w:r w:rsidRPr="00F50AC7">
        <w:rPr>
          <w:rFonts w:ascii="Arial" w:eastAsia="Calibri" w:hAnsi="Arial" w:cs="Arial"/>
          <w:spacing w:val="-1"/>
          <w:sz w:val="17"/>
          <w:szCs w:val="17"/>
        </w:rPr>
        <w:t xml:space="preserve"> del Estado de Querétaro, no se ha aplicado alguna Normatividad Supletoria.</w:t>
      </w:r>
    </w:p>
    <w:p w:rsidR="00DA3F3D" w:rsidRPr="00A67440" w:rsidRDefault="00DA3F3D" w:rsidP="00F50AC7">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sidR="00B44550">
        <w:rPr>
          <w:rFonts w:ascii="Arial" w:eastAsia="Calibri" w:hAnsi="Arial" w:cs="Arial"/>
          <w:spacing w:val="-1"/>
          <w:sz w:val="17"/>
          <w:szCs w:val="17"/>
        </w:rPr>
        <w:t xml:space="preserve"> </w:t>
      </w:r>
      <w:r w:rsidRPr="00F50AC7">
        <w:rPr>
          <w:rFonts w:ascii="Arial" w:eastAsia="Calibri" w:hAnsi="Arial" w:cs="Arial"/>
          <w:spacing w:val="-1"/>
          <w:sz w:val="17"/>
          <w:szCs w:val="17"/>
        </w:rPr>
        <w:t>l</w:t>
      </w:r>
      <w:r w:rsidR="00B44550">
        <w:rPr>
          <w:rFonts w:ascii="Arial" w:eastAsia="Calibri" w:hAnsi="Arial" w:cs="Arial"/>
          <w:spacing w:val="-1"/>
          <w:sz w:val="17"/>
          <w:szCs w:val="17"/>
        </w:rPr>
        <w:t>a</w:t>
      </w:r>
      <w:r w:rsidRPr="00F50AC7">
        <w:rPr>
          <w:rFonts w:ascii="Arial" w:eastAsia="Calibri" w:hAnsi="Arial" w:cs="Arial"/>
          <w:spacing w:val="-1"/>
          <w:sz w:val="17"/>
          <w:szCs w:val="17"/>
        </w:rPr>
        <w:t xml:space="preserve"> </w:t>
      </w:r>
      <w:r w:rsidR="00B44550">
        <w:rPr>
          <w:rFonts w:ascii="Arial" w:eastAsia="Calibri" w:hAnsi="Arial" w:cs="Arial"/>
          <w:spacing w:val="-1"/>
          <w:sz w:val="17"/>
          <w:szCs w:val="17"/>
        </w:rPr>
        <w:t>Cuenta Pública</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cuanto a las políticas para el cálculo de la reserva actuarial, </w:t>
      </w:r>
      <w:r w:rsidR="001E4FC7">
        <w:rPr>
          <w:rFonts w:ascii="Arial" w:eastAsia="Calibri" w:hAnsi="Arial" w:cs="Arial"/>
          <w:spacing w:val="-1"/>
          <w:sz w:val="17"/>
          <w:szCs w:val="17"/>
        </w:rPr>
        <w:t>é</w:t>
      </w:r>
      <w:r w:rsidRPr="00F50AC7">
        <w:rPr>
          <w:rFonts w:ascii="Arial" w:eastAsia="Calibri" w:hAnsi="Arial" w:cs="Arial"/>
          <w:spacing w:val="-1"/>
          <w:sz w:val="17"/>
          <w:szCs w:val="17"/>
        </w:rPr>
        <w:t xml:space="preserve">stas se encuentran plasmadas en </w:t>
      </w:r>
      <w:r w:rsidR="001E4FC7">
        <w:rPr>
          <w:rFonts w:ascii="Arial" w:eastAsia="Calibri" w:hAnsi="Arial" w:cs="Arial"/>
          <w:spacing w:val="-1"/>
          <w:sz w:val="17"/>
          <w:szCs w:val="17"/>
        </w:rPr>
        <w:t>el</w:t>
      </w:r>
      <w:r w:rsidRPr="00F50AC7">
        <w:rPr>
          <w:rFonts w:ascii="Arial" w:eastAsia="Calibri" w:hAnsi="Arial" w:cs="Arial"/>
          <w:spacing w:val="-1"/>
          <w:sz w:val="17"/>
          <w:szCs w:val="17"/>
        </w:rPr>
        <w:t xml:space="preserve"> estudio</w:t>
      </w:r>
      <w:r w:rsidR="001E4FC7">
        <w:rPr>
          <w:rFonts w:ascii="Arial" w:eastAsia="Calibri" w:hAnsi="Arial" w:cs="Arial"/>
          <w:spacing w:val="-1"/>
          <w:sz w:val="17"/>
          <w:szCs w:val="17"/>
        </w:rPr>
        <w:t xml:space="preserve"> actuarial realizado al Poder Ejecutivo del Estado de Querétaro</w:t>
      </w:r>
      <w:r w:rsidRPr="00F50AC7">
        <w:rPr>
          <w:rFonts w:ascii="Arial" w:eastAsia="Calibri" w:hAnsi="Arial" w:cs="Arial"/>
          <w:spacing w:val="-1"/>
          <w:sz w:val="17"/>
          <w:szCs w:val="17"/>
        </w:rPr>
        <w:t>.</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 la fecha del presente documento, no se han generado nuevas provisiones ni reservas.</w:t>
      </w:r>
    </w:p>
    <w:p w:rsidR="00F50AC7" w:rsidRP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sidR="00FD6CFD">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sidR="00FD6CFD">
        <w:rPr>
          <w:rFonts w:ascii="Arial" w:eastAsia="Calibri" w:hAnsi="Arial" w:cs="Arial"/>
          <w:spacing w:val="-1"/>
          <w:sz w:val="17"/>
          <w:szCs w:val="17"/>
        </w:rPr>
        <w:t>correccio</w:t>
      </w:r>
      <w:r w:rsidRPr="00F50AC7">
        <w:rPr>
          <w:rFonts w:ascii="Arial" w:eastAsia="Calibri" w:hAnsi="Arial" w:cs="Arial"/>
          <w:spacing w:val="-1"/>
          <w:sz w:val="17"/>
          <w:szCs w:val="17"/>
        </w:rPr>
        <w:t>n</w:t>
      </w:r>
      <w:r w:rsidR="00FD6CFD">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50AC7" w:rsidRDefault="00F50AC7" w:rsidP="00F50AC7">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lastRenderedPageBreak/>
        <w:t xml:space="preserve">En lo referente a la Depuración y cancelación de saldos, las políticas particulares están contenidas en el Anexo II del Manual de Contabilidad Gubernamental del Poder Ejecutivo del </w:t>
      </w:r>
      <w:r>
        <w:rPr>
          <w:rFonts w:ascii="Arial" w:eastAsia="Calibri" w:hAnsi="Arial" w:cs="Arial"/>
          <w:spacing w:val="-1"/>
          <w:sz w:val="17"/>
          <w:szCs w:val="17"/>
        </w:rPr>
        <w:t>E</w:t>
      </w:r>
      <w:r w:rsidRPr="00F50AC7">
        <w:rPr>
          <w:rFonts w:ascii="Arial" w:eastAsia="Calibri" w:hAnsi="Arial" w:cs="Arial"/>
          <w:spacing w:val="-1"/>
          <w:sz w:val="17"/>
          <w:szCs w:val="17"/>
        </w:rPr>
        <w:t>stado de Querétaro.</w:t>
      </w:r>
    </w:p>
    <w:p w:rsidR="00E133D1" w:rsidRPr="00A67440" w:rsidRDefault="00E133D1" w:rsidP="00F50AC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Se informa que derivado de un análisis realizado en conjunto con el auditor externo se ajusta y reclasifica la cuenta de Bienes Inmuebles, Infraestructura y Obras en Proceso, toda vez que se tenía registrado en la cuenta en comento un importe que correspondería a gasto de operación de ejercicios anteriores así como registrar la conclusión de obras concluidas por ejercicios anteriores. </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DA3F3D" w:rsidP="00F50AC7">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DA3F3D" w:rsidRP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DA3F3D" w:rsidRP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 de depreciación, amortización, etc., de los diferentes tipos de activos no circulantes, se encuentran revelados en las Notas de Desglose, en particular en las Notas al Estado de Situación Financiera, en el apartado “5 Bienes Muebles, Inmuebles e Intangibles”.</w:t>
      </w:r>
    </w:p>
    <w:p w:rsidR="00DA3F3D" w:rsidRPr="00DA3F3D" w:rsidRDefault="00DA3F3D" w:rsidP="00DA3F3D">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DA3F3D" w:rsidRDefault="00C50F56" w:rsidP="00DA3F3D">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referente</w:t>
      </w:r>
      <w:r w:rsidR="00DA3F3D" w:rsidRPr="00DA3F3D">
        <w:rPr>
          <w:rFonts w:ascii="Arial" w:eastAsia="Calibri" w:hAnsi="Arial" w:cs="Arial"/>
          <w:spacing w:val="-1"/>
          <w:sz w:val="17"/>
          <w:szCs w:val="17"/>
        </w:rPr>
        <w:t xml:space="preserve"> a las Inversiones en empresas de participación mayoritaria y minoritaria se tiene lo siguiente:</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8436"/>
        <w:gridCol w:w="2676"/>
      </w:tblGrid>
      <w:tr w:rsidR="00DA3F3D" w:rsidRPr="009D2231" w:rsidTr="002E627B">
        <w:trPr>
          <w:trHeight w:val="240"/>
          <w:jc w:val="center"/>
        </w:trPr>
        <w:tc>
          <w:tcPr>
            <w:tcW w:w="1216" w:type="dxa"/>
            <w:shd w:val="clear" w:color="auto" w:fill="D5DCE4" w:themeFill="text2" w:themeFillTint="33"/>
            <w:noWrap/>
            <w:vAlign w:val="bottom"/>
          </w:tcPr>
          <w:p w:rsidR="00DA3F3D" w:rsidRPr="00DA3F3D" w:rsidRDefault="00DA3F3D" w:rsidP="00DA3F3D">
            <w:pPr>
              <w:jc w:val="center"/>
              <w:rPr>
                <w:rFonts w:ascii="Arial" w:hAnsi="Arial" w:cs="Arial"/>
                <w:b/>
                <w:color w:val="000000"/>
                <w:sz w:val="17"/>
                <w:szCs w:val="17"/>
              </w:rPr>
            </w:pPr>
            <w:r w:rsidRPr="00DA3F3D">
              <w:rPr>
                <w:rFonts w:ascii="Arial" w:hAnsi="Arial" w:cs="Arial"/>
                <w:b/>
                <w:color w:val="000000"/>
                <w:sz w:val="17"/>
                <w:szCs w:val="17"/>
              </w:rPr>
              <w:t>Cuenta</w:t>
            </w:r>
          </w:p>
        </w:tc>
        <w:tc>
          <w:tcPr>
            <w:tcW w:w="8436" w:type="dxa"/>
            <w:shd w:val="clear" w:color="auto" w:fill="D5DCE4" w:themeFill="text2" w:themeFillTint="33"/>
            <w:noWrap/>
            <w:vAlign w:val="bottom"/>
          </w:tcPr>
          <w:p w:rsidR="00DA3F3D" w:rsidRPr="00DA3F3D" w:rsidRDefault="00DA3F3D" w:rsidP="00DA3F3D">
            <w:pPr>
              <w:jc w:val="center"/>
              <w:rPr>
                <w:rFonts w:ascii="Arial" w:hAnsi="Arial" w:cs="Arial"/>
                <w:b/>
                <w:color w:val="000000"/>
                <w:sz w:val="17"/>
                <w:szCs w:val="17"/>
              </w:rPr>
            </w:pPr>
            <w:r w:rsidRPr="00DA3F3D">
              <w:rPr>
                <w:rFonts w:ascii="Arial" w:hAnsi="Arial" w:cs="Arial"/>
                <w:b/>
                <w:color w:val="000000"/>
                <w:sz w:val="17"/>
                <w:szCs w:val="17"/>
              </w:rPr>
              <w:t>Concepto</w:t>
            </w:r>
          </w:p>
        </w:tc>
        <w:tc>
          <w:tcPr>
            <w:tcW w:w="2676" w:type="dxa"/>
            <w:shd w:val="clear" w:color="auto" w:fill="D5DCE4" w:themeFill="text2" w:themeFillTint="33"/>
          </w:tcPr>
          <w:p w:rsidR="00DA3F3D" w:rsidRPr="00DA3F3D" w:rsidRDefault="00DA3F3D" w:rsidP="00DA3F3D">
            <w:pPr>
              <w:jc w:val="center"/>
              <w:rPr>
                <w:rFonts w:ascii="Arial" w:hAnsi="Arial" w:cs="Arial"/>
                <w:b/>
                <w:color w:val="000000"/>
                <w:sz w:val="17"/>
                <w:szCs w:val="17"/>
              </w:rPr>
            </w:pPr>
            <w:r w:rsidRPr="00DA3F3D">
              <w:rPr>
                <w:rFonts w:ascii="Arial" w:hAnsi="Arial" w:cs="Arial"/>
                <w:b/>
                <w:color w:val="000000"/>
                <w:sz w:val="17"/>
                <w:szCs w:val="17"/>
              </w:rPr>
              <w:t>Importe</w:t>
            </w:r>
          </w:p>
        </w:tc>
      </w:tr>
      <w:tr w:rsidR="00DA3F3D" w:rsidRPr="009D2231" w:rsidTr="002E627B">
        <w:trPr>
          <w:trHeight w:val="240"/>
          <w:jc w:val="center"/>
        </w:trPr>
        <w:tc>
          <w:tcPr>
            <w:tcW w:w="1216" w:type="dxa"/>
            <w:shd w:val="clear" w:color="auto" w:fill="auto"/>
            <w:noWrap/>
            <w:vAlign w:val="bottom"/>
          </w:tcPr>
          <w:p w:rsidR="00DA3F3D" w:rsidRPr="00DA3F3D" w:rsidRDefault="00DA3F3D" w:rsidP="00DA3F3D">
            <w:pPr>
              <w:jc w:val="center"/>
              <w:rPr>
                <w:rFonts w:ascii="Arial" w:hAnsi="Arial" w:cs="Arial"/>
                <w:color w:val="000000"/>
                <w:sz w:val="17"/>
                <w:szCs w:val="17"/>
              </w:rPr>
            </w:pPr>
            <w:r w:rsidRPr="00DA3F3D">
              <w:rPr>
                <w:rFonts w:ascii="Arial" w:hAnsi="Arial" w:cs="Arial"/>
                <w:color w:val="000000"/>
                <w:sz w:val="17"/>
                <w:szCs w:val="17"/>
              </w:rPr>
              <w:t>12141</w:t>
            </w:r>
          </w:p>
        </w:tc>
        <w:tc>
          <w:tcPr>
            <w:tcW w:w="8436" w:type="dxa"/>
            <w:shd w:val="clear" w:color="auto" w:fill="auto"/>
            <w:noWrap/>
            <w:vAlign w:val="bottom"/>
          </w:tcPr>
          <w:p w:rsidR="00DA3F3D" w:rsidRPr="00DA3F3D" w:rsidRDefault="008D3955" w:rsidP="00DA3F3D">
            <w:pPr>
              <w:rPr>
                <w:rFonts w:ascii="Arial" w:hAnsi="Arial" w:cs="Arial"/>
                <w:color w:val="000000"/>
                <w:sz w:val="17"/>
                <w:szCs w:val="17"/>
              </w:rPr>
            </w:pPr>
            <w:r w:rsidRPr="00DA3F3D">
              <w:rPr>
                <w:rFonts w:ascii="Arial" w:hAnsi="Arial" w:cs="Arial"/>
                <w:color w:val="000000"/>
                <w:sz w:val="17"/>
                <w:szCs w:val="17"/>
              </w:rPr>
              <w:t>Participaciones y aportaciones de capital a largo plazo en el sector público</w:t>
            </w:r>
          </w:p>
        </w:tc>
        <w:tc>
          <w:tcPr>
            <w:tcW w:w="2676" w:type="dxa"/>
          </w:tcPr>
          <w:p w:rsidR="00DA3F3D" w:rsidRPr="00DA3F3D" w:rsidRDefault="00DA3F3D" w:rsidP="00DA3F3D">
            <w:pPr>
              <w:rPr>
                <w:rFonts w:ascii="Arial" w:hAnsi="Arial" w:cs="Arial"/>
                <w:color w:val="000000"/>
                <w:sz w:val="17"/>
                <w:szCs w:val="17"/>
              </w:rPr>
            </w:pPr>
          </w:p>
        </w:tc>
      </w:tr>
      <w:tr w:rsidR="00DA3F3D" w:rsidRPr="009D2231" w:rsidTr="002E627B">
        <w:trPr>
          <w:trHeight w:val="240"/>
          <w:jc w:val="center"/>
        </w:trPr>
        <w:tc>
          <w:tcPr>
            <w:tcW w:w="1216" w:type="dxa"/>
            <w:tcBorders>
              <w:bottom w:val="single" w:sz="4" w:space="0" w:color="auto"/>
            </w:tcBorders>
            <w:shd w:val="clear" w:color="auto" w:fill="auto"/>
            <w:noWrap/>
            <w:vAlign w:val="bottom"/>
          </w:tcPr>
          <w:p w:rsidR="00DA3F3D" w:rsidRPr="00DA3F3D" w:rsidRDefault="00DA3F3D" w:rsidP="00DA3F3D">
            <w:pPr>
              <w:jc w:val="center"/>
              <w:rPr>
                <w:rFonts w:ascii="Arial" w:hAnsi="Arial" w:cs="Arial"/>
                <w:color w:val="000000"/>
                <w:sz w:val="17"/>
                <w:szCs w:val="17"/>
              </w:rPr>
            </w:pPr>
          </w:p>
        </w:tc>
        <w:tc>
          <w:tcPr>
            <w:tcW w:w="8436" w:type="dxa"/>
            <w:shd w:val="clear" w:color="auto" w:fill="auto"/>
            <w:noWrap/>
            <w:vAlign w:val="bottom"/>
          </w:tcPr>
          <w:p w:rsidR="00DA3F3D" w:rsidRPr="00DA3F3D" w:rsidRDefault="00DA3F3D" w:rsidP="00DA3F3D">
            <w:pPr>
              <w:rPr>
                <w:rFonts w:ascii="Arial" w:hAnsi="Arial" w:cs="Arial"/>
                <w:color w:val="000000"/>
                <w:sz w:val="17"/>
                <w:szCs w:val="17"/>
              </w:rPr>
            </w:pPr>
            <w:r w:rsidRPr="00DA3F3D">
              <w:rPr>
                <w:rFonts w:ascii="Arial" w:hAnsi="Arial" w:cs="Arial"/>
                <w:color w:val="000000"/>
                <w:sz w:val="17"/>
                <w:szCs w:val="17"/>
              </w:rPr>
              <w:t>Centro Sur, S.A. de C.V.</w:t>
            </w:r>
          </w:p>
        </w:tc>
        <w:tc>
          <w:tcPr>
            <w:tcW w:w="2676" w:type="dxa"/>
          </w:tcPr>
          <w:p w:rsidR="00DA3F3D" w:rsidRPr="00DA3F3D" w:rsidRDefault="00DA3F3D" w:rsidP="00DA3F3D">
            <w:pPr>
              <w:jc w:val="right"/>
              <w:rPr>
                <w:rFonts w:ascii="Arial" w:hAnsi="Arial" w:cs="Arial"/>
                <w:color w:val="000000"/>
                <w:sz w:val="17"/>
                <w:szCs w:val="17"/>
              </w:rPr>
            </w:pPr>
            <w:r w:rsidRPr="00DA3F3D">
              <w:rPr>
                <w:rFonts w:ascii="Arial" w:hAnsi="Arial" w:cs="Arial"/>
                <w:color w:val="000000"/>
                <w:sz w:val="17"/>
                <w:szCs w:val="17"/>
              </w:rPr>
              <w:t>69,179,750</w:t>
            </w:r>
          </w:p>
        </w:tc>
      </w:tr>
      <w:tr w:rsidR="00B40196" w:rsidRPr="009D2231" w:rsidTr="002E627B">
        <w:trPr>
          <w:trHeight w:val="240"/>
          <w:jc w:val="center"/>
        </w:trPr>
        <w:tc>
          <w:tcPr>
            <w:tcW w:w="1216" w:type="dxa"/>
            <w:tcBorders>
              <w:bottom w:val="single" w:sz="4" w:space="0" w:color="auto"/>
            </w:tcBorders>
            <w:shd w:val="clear" w:color="auto" w:fill="auto"/>
            <w:noWrap/>
            <w:vAlign w:val="bottom"/>
          </w:tcPr>
          <w:p w:rsidR="00B40196" w:rsidRPr="00DA3F3D" w:rsidRDefault="00B40196" w:rsidP="00B40196">
            <w:pPr>
              <w:jc w:val="center"/>
              <w:rPr>
                <w:rFonts w:ascii="Arial" w:hAnsi="Arial" w:cs="Arial"/>
                <w:color w:val="000000"/>
                <w:sz w:val="17"/>
                <w:szCs w:val="17"/>
              </w:rPr>
            </w:pPr>
          </w:p>
        </w:tc>
        <w:tc>
          <w:tcPr>
            <w:tcW w:w="8436" w:type="dxa"/>
            <w:tcBorders>
              <w:bottom w:val="single" w:sz="4" w:space="0" w:color="auto"/>
            </w:tcBorders>
            <w:shd w:val="clear" w:color="auto" w:fill="auto"/>
            <w:noWrap/>
            <w:vAlign w:val="bottom"/>
          </w:tcPr>
          <w:p w:rsidR="00B40196" w:rsidRPr="00DA3F3D" w:rsidRDefault="00B40196" w:rsidP="00B40196">
            <w:pPr>
              <w:rPr>
                <w:rFonts w:ascii="Arial" w:hAnsi="Arial" w:cs="Arial"/>
                <w:color w:val="000000"/>
                <w:sz w:val="17"/>
                <w:szCs w:val="17"/>
              </w:rPr>
            </w:pPr>
            <w:r w:rsidRPr="00DA3F3D">
              <w:rPr>
                <w:rFonts w:ascii="Arial" w:hAnsi="Arial" w:cs="Arial"/>
                <w:color w:val="000000"/>
                <w:sz w:val="17"/>
                <w:szCs w:val="17"/>
              </w:rPr>
              <w:t>Aeropuerto Intercontinental de Querétaro, S.A. de C.V.</w:t>
            </w:r>
          </w:p>
        </w:tc>
        <w:tc>
          <w:tcPr>
            <w:tcW w:w="2676" w:type="dxa"/>
          </w:tcPr>
          <w:p w:rsidR="00B40196" w:rsidRPr="00DA3F3D" w:rsidRDefault="00B40196" w:rsidP="00B40196">
            <w:pPr>
              <w:jc w:val="right"/>
              <w:rPr>
                <w:rFonts w:ascii="Arial" w:hAnsi="Arial" w:cs="Arial"/>
                <w:color w:val="000000"/>
                <w:sz w:val="17"/>
                <w:szCs w:val="17"/>
              </w:rPr>
            </w:pPr>
            <w:r w:rsidRPr="00DA3F3D">
              <w:rPr>
                <w:rFonts w:ascii="Arial" w:hAnsi="Arial" w:cs="Arial"/>
                <w:color w:val="000000"/>
                <w:sz w:val="17"/>
                <w:szCs w:val="17"/>
              </w:rPr>
              <w:t>126,748,301</w:t>
            </w:r>
          </w:p>
        </w:tc>
      </w:tr>
      <w:tr w:rsidR="00B40196" w:rsidRPr="009D2231" w:rsidTr="002E627B">
        <w:trPr>
          <w:trHeight w:val="240"/>
          <w:jc w:val="center"/>
        </w:trPr>
        <w:tc>
          <w:tcPr>
            <w:tcW w:w="1216" w:type="dxa"/>
            <w:tcBorders>
              <w:bottom w:val="single" w:sz="4" w:space="0" w:color="auto"/>
            </w:tcBorders>
            <w:shd w:val="clear" w:color="auto" w:fill="auto"/>
            <w:noWrap/>
            <w:vAlign w:val="bottom"/>
          </w:tcPr>
          <w:p w:rsidR="00B40196" w:rsidRPr="00DA3F3D" w:rsidRDefault="00B40196" w:rsidP="00B40196">
            <w:pPr>
              <w:jc w:val="center"/>
              <w:rPr>
                <w:rFonts w:ascii="Arial" w:hAnsi="Arial" w:cs="Arial"/>
                <w:color w:val="000000"/>
                <w:sz w:val="17"/>
                <w:szCs w:val="17"/>
              </w:rPr>
            </w:pPr>
          </w:p>
        </w:tc>
        <w:tc>
          <w:tcPr>
            <w:tcW w:w="8436" w:type="dxa"/>
            <w:tcBorders>
              <w:bottom w:val="single" w:sz="4" w:space="0" w:color="auto"/>
            </w:tcBorders>
            <w:shd w:val="clear" w:color="auto" w:fill="auto"/>
            <w:noWrap/>
            <w:vAlign w:val="bottom"/>
          </w:tcPr>
          <w:p w:rsidR="00B40196" w:rsidRPr="00DA3F3D" w:rsidRDefault="00B40196" w:rsidP="00B40196">
            <w:pPr>
              <w:rPr>
                <w:rFonts w:ascii="Arial" w:hAnsi="Arial" w:cs="Arial"/>
                <w:color w:val="000000"/>
                <w:sz w:val="17"/>
                <w:szCs w:val="17"/>
              </w:rPr>
            </w:pPr>
            <w:r>
              <w:rPr>
                <w:rFonts w:ascii="Arial" w:hAnsi="Arial" w:cs="Arial"/>
                <w:color w:val="000000"/>
                <w:sz w:val="17"/>
                <w:szCs w:val="17"/>
              </w:rPr>
              <w:t>Comisión Estatal de Infraestructura</w:t>
            </w:r>
          </w:p>
        </w:tc>
        <w:tc>
          <w:tcPr>
            <w:tcW w:w="2676" w:type="dxa"/>
            <w:tcBorders>
              <w:bottom w:val="single" w:sz="4" w:space="0" w:color="auto"/>
            </w:tcBorders>
          </w:tcPr>
          <w:p w:rsidR="00B40196" w:rsidRPr="00DA3F3D" w:rsidRDefault="00B40196" w:rsidP="00B40196">
            <w:pPr>
              <w:jc w:val="right"/>
              <w:rPr>
                <w:rFonts w:ascii="Arial" w:hAnsi="Arial" w:cs="Arial"/>
                <w:color w:val="000000"/>
                <w:sz w:val="17"/>
                <w:szCs w:val="17"/>
              </w:rPr>
            </w:pPr>
            <w:r w:rsidRPr="00B40196">
              <w:rPr>
                <w:rFonts w:ascii="Arial" w:hAnsi="Arial" w:cs="Arial"/>
                <w:color w:val="000000"/>
                <w:sz w:val="17"/>
                <w:szCs w:val="17"/>
              </w:rPr>
              <w:t>112</w:t>
            </w:r>
            <w:r>
              <w:rPr>
                <w:rFonts w:ascii="Arial" w:hAnsi="Arial" w:cs="Arial"/>
                <w:color w:val="000000"/>
                <w:sz w:val="17"/>
                <w:szCs w:val="17"/>
              </w:rPr>
              <w:t>,</w:t>
            </w:r>
            <w:r w:rsidRPr="00B40196">
              <w:rPr>
                <w:rFonts w:ascii="Arial" w:hAnsi="Arial" w:cs="Arial"/>
                <w:color w:val="000000"/>
                <w:sz w:val="17"/>
                <w:szCs w:val="17"/>
              </w:rPr>
              <w:t>000</w:t>
            </w:r>
            <w:r>
              <w:rPr>
                <w:rFonts w:ascii="Arial" w:hAnsi="Arial" w:cs="Arial"/>
                <w:color w:val="000000"/>
                <w:sz w:val="17"/>
                <w:szCs w:val="17"/>
              </w:rPr>
              <w:t>,</w:t>
            </w:r>
            <w:r w:rsidRPr="00B40196">
              <w:rPr>
                <w:rFonts w:ascii="Arial" w:hAnsi="Arial" w:cs="Arial"/>
                <w:color w:val="000000"/>
                <w:sz w:val="17"/>
                <w:szCs w:val="17"/>
              </w:rPr>
              <w:t>000</w:t>
            </w:r>
          </w:p>
        </w:tc>
      </w:tr>
      <w:tr w:rsidR="00B40196" w:rsidRPr="009D2231" w:rsidTr="002E627B">
        <w:trPr>
          <w:trHeight w:val="240"/>
          <w:jc w:val="center"/>
        </w:trPr>
        <w:tc>
          <w:tcPr>
            <w:tcW w:w="1216" w:type="dxa"/>
            <w:tcBorders>
              <w:top w:val="single" w:sz="4" w:space="0" w:color="auto"/>
              <w:left w:val="nil"/>
              <w:bottom w:val="nil"/>
              <w:right w:val="nil"/>
            </w:tcBorders>
            <w:shd w:val="clear" w:color="auto" w:fill="auto"/>
            <w:noWrap/>
            <w:vAlign w:val="bottom"/>
          </w:tcPr>
          <w:p w:rsidR="00B40196" w:rsidRPr="00DA3F3D" w:rsidRDefault="00B40196" w:rsidP="00B40196">
            <w:pPr>
              <w:jc w:val="center"/>
              <w:rPr>
                <w:rFonts w:ascii="Arial" w:hAnsi="Arial" w:cs="Arial"/>
                <w:color w:val="000000"/>
                <w:sz w:val="17"/>
                <w:szCs w:val="17"/>
              </w:rPr>
            </w:pPr>
          </w:p>
        </w:tc>
        <w:tc>
          <w:tcPr>
            <w:tcW w:w="8436" w:type="dxa"/>
            <w:tcBorders>
              <w:top w:val="single" w:sz="4" w:space="0" w:color="auto"/>
              <w:left w:val="nil"/>
              <w:bottom w:val="nil"/>
              <w:right w:val="single" w:sz="4" w:space="0" w:color="auto"/>
            </w:tcBorders>
            <w:shd w:val="clear" w:color="auto" w:fill="auto"/>
            <w:noWrap/>
            <w:vAlign w:val="bottom"/>
          </w:tcPr>
          <w:p w:rsidR="00B40196" w:rsidRPr="00DA3F3D" w:rsidRDefault="00B40196" w:rsidP="002E627B">
            <w:pPr>
              <w:jc w:val="center"/>
              <w:rPr>
                <w:rFonts w:ascii="Arial" w:hAnsi="Arial" w:cs="Arial"/>
                <w:b/>
                <w:color w:val="000000"/>
                <w:sz w:val="17"/>
                <w:szCs w:val="17"/>
              </w:rPr>
            </w:pPr>
            <w:r w:rsidRPr="00DA3F3D">
              <w:rPr>
                <w:rFonts w:ascii="Arial" w:hAnsi="Arial" w:cs="Arial"/>
                <w:b/>
                <w:color w:val="000000"/>
                <w:sz w:val="17"/>
                <w:szCs w:val="17"/>
              </w:rPr>
              <w:t>Total</w:t>
            </w:r>
          </w:p>
        </w:tc>
        <w:tc>
          <w:tcPr>
            <w:tcW w:w="2676" w:type="dxa"/>
            <w:tcBorders>
              <w:left w:val="single" w:sz="4" w:space="0" w:color="auto"/>
            </w:tcBorders>
          </w:tcPr>
          <w:p w:rsidR="00B40196" w:rsidRPr="00DA3F3D" w:rsidRDefault="00B40196" w:rsidP="00B40196">
            <w:pPr>
              <w:jc w:val="right"/>
              <w:rPr>
                <w:rFonts w:ascii="Arial" w:hAnsi="Arial" w:cs="Arial"/>
                <w:b/>
                <w:color w:val="000000"/>
                <w:sz w:val="17"/>
                <w:szCs w:val="17"/>
              </w:rPr>
            </w:pPr>
            <w:r w:rsidRPr="00DA3F3D">
              <w:rPr>
                <w:rFonts w:ascii="Arial" w:hAnsi="Arial" w:cs="Arial"/>
                <w:b/>
                <w:color w:val="000000"/>
                <w:sz w:val="17"/>
                <w:szCs w:val="17"/>
              </w:rPr>
              <w:fldChar w:fldCharType="begin"/>
            </w:r>
            <w:r w:rsidRPr="00DA3F3D">
              <w:rPr>
                <w:rFonts w:ascii="Arial" w:hAnsi="Arial" w:cs="Arial"/>
                <w:b/>
                <w:color w:val="000000"/>
                <w:sz w:val="17"/>
                <w:szCs w:val="17"/>
              </w:rPr>
              <w:instrText xml:space="preserve"> =SUM(ABOVE) \# "$#,##0;($#,##0)" </w:instrText>
            </w:r>
            <w:r w:rsidRPr="00DA3F3D">
              <w:rPr>
                <w:rFonts w:ascii="Arial" w:hAnsi="Arial" w:cs="Arial"/>
                <w:b/>
                <w:color w:val="000000"/>
                <w:sz w:val="17"/>
                <w:szCs w:val="17"/>
              </w:rPr>
              <w:fldChar w:fldCharType="separate"/>
            </w:r>
            <w:r w:rsidR="00D76FD9">
              <w:rPr>
                <w:rFonts w:ascii="Arial" w:hAnsi="Arial" w:cs="Arial"/>
                <w:b/>
                <w:noProof/>
                <w:color w:val="000000"/>
                <w:sz w:val="17"/>
                <w:szCs w:val="17"/>
              </w:rPr>
              <w:t>307,928,051</w:t>
            </w:r>
            <w:r w:rsidRPr="00DA3F3D">
              <w:rPr>
                <w:rFonts w:ascii="Arial" w:hAnsi="Arial" w:cs="Arial"/>
                <w:b/>
                <w:color w:val="000000"/>
                <w:sz w:val="17"/>
                <w:szCs w:val="17"/>
              </w:rPr>
              <w:fldChar w:fldCharType="end"/>
            </w:r>
          </w:p>
        </w:tc>
      </w:tr>
    </w:tbl>
    <w:p w:rsidR="0010523D" w:rsidRDefault="00C50F56" w:rsidP="00C50F56">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Adicionalmente se informa que el Poder Ejecutivo del Estado de Querétaro está en proceso de análisis </w:t>
      </w:r>
      <w:r w:rsidR="008D3955">
        <w:rPr>
          <w:rFonts w:ascii="Arial" w:eastAsia="Calibri" w:hAnsi="Arial" w:cs="Arial"/>
          <w:spacing w:val="-1"/>
          <w:sz w:val="17"/>
          <w:szCs w:val="17"/>
        </w:rPr>
        <w:t xml:space="preserve">de los dictámenes de las entidades paraestatales para el </w:t>
      </w:r>
      <w:r>
        <w:rPr>
          <w:rFonts w:ascii="Arial" w:eastAsia="Calibri" w:hAnsi="Arial" w:cs="Arial"/>
          <w:spacing w:val="-1"/>
          <w:sz w:val="17"/>
          <w:szCs w:val="17"/>
        </w:rPr>
        <w:t xml:space="preserve">reconocimiento </w:t>
      </w:r>
      <w:r w:rsidRPr="00C50F56">
        <w:rPr>
          <w:rFonts w:ascii="Arial" w:eastAsia="Calibri" w:hAnsi="Arial" w:cs="Arial"/>
          <w:spacing w:val="-1"/>
          <w:sz w:val="17"/>
          <w:szCs w:val="17"/>
        </w:rPr>
        <w:t xml:space="preserve">de la participación que </w:t>
      </w:r>
      <w:r w:rsidR="008D3955">
        <w:rPr>
          <w:rFonts w:ascii="Arial" w:eastAsia="Calibri" w:hAnsi="Arial" w:cs="Arial"/>
          <w:spacing w:val="-1"/>
          <w:sz w:val="17"/>
          <w:szCs w:val="17"/>
        </w:rPr>
        <w:t xml:space="preserve">se </w:t>
      </w:r>
      <w:r w:rsidRPr="00C50F56">
        <w:rPr>
          <w:rFonts w:ascii="Arial" w:eastAsia="Calibri" w:hAnsi="Arial" w:cs="Arial"/>
          <w:spacing w:val="-1"/>
          <w:sz w:val="17"/>
          <w:szCs w:val="17"/>
        </w:rPr>
        <w:t xml:space="preserve">tenga </w:t>
      </w:r>
      <w:r>
        <w:rPr>
          <w:rFonts w:ascii="Arial" w:eastAsia="Calibri" w:hAnsi="Arial" w:cs="Arial"/>
          <w:spacing w:val="-1"/>
          <w:sz w:val="17"/>
          <w:szCs w:val="17"/>
        </w:rPr>
        <w:t xml:space="preserve">en </w:t>
      </w:r>
      <w:r w:rsidRPr="00C50F56">
        <w:rPr>
          <w:rFonts w:ascii="Arial" w:eastAsia="Calibri" w:hAnsi="Arial" w:cs="Arial"/>
          <w:spacing w:val="-1"/>
          <w:sz w:val="17"/>
          <w:szCs w:val="17"/>
        </w:rPr>
        <w:t xml:space="preserve">el patrimonio o capital de las entidades paraestatales, </w:t>
      </w:r>
      <w:r>
        <w:rPr>
          <w:rFonts w:ascii="Arial" w:eastAsia="Calibri" w:hAnsi="Arial" w:cs="Arial"/>
          <w:spacing w:val="-1"/>
          <w:sz w:val="17"/>
          <w:szCs w:val="17"/>
        </w:rPr>
        <w:t>de conformidad con el artículo 32 de la Ley General de Contabilidad Gubernamental.</w:t>
      </w:r>
    </w:p>
    <w:p w:rsidR="007E3CDB" w:rsidRDefault="007E3CDB">
      <w:pPr>
        <w:rPr>
          <w:rFonts w:ascii="Arial" w:eastAsia="Calibri" w:hAnsi="Arial" w:cs="Arial"/>
          <w:b/>
          <w:spacing w:val="-1"/>
          <w:sz w:val="17"/>
          <w:szCs w:val="17"/>
        </w:rPr>
      </w:pPr>
      <w:r>
        <w:rPr>
          <w:rFonts w:ascii="Arial" w:eastAsia="Calibri" w:hAnsi="Arial" w:cs="Arial"/>
          <w:b/>
          <w:spacing w:val="-1"/>
          <w:sz w:val="17"/>
          <w:szCs w:val="17"/>
        </w:rPr>
        <w:br w:type="page"/>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Fideicomisos, Mandatos y Análogos</w:t>
      </w:r>
    </w:p>
    <w:p w:rsidR="00DA3F3D" w:rsidRDefault="00DA3F3D" w:rsidP="00A67440">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lo referente a los Fideicomisos, mandatos y análogos de los cuales es fideicomitente o fideicomisario, en conformidad con el “</w:t>
      </w:r>
      <w:r w:rsidRPr="00DA3F3D">
        <w:rPr>
          <w:rFonts w:ascii="Arial" w:eastAsia="Calibri" w:hAnsi="Arial" w:cs="Arial"/>
          <w:b/>
          <w:spacing w:val="-1"/>
          <w:sz w:val="17"/>
          <w:szCs w:val="17"/>
        </w:rPr>
        <w:t>Lineamientos que deberán observar los entes públicos para registrar en las cuentas de activo los fideicomisos sin estructura orgánica y contratos análogos, incluyendo mandatos</w:t>
      </w:r>
      <w:r w:rsidRPr="00DA3F3D">
        <w:rPr>
          <w:rFonts w:ascii="Arial" w:eastAsia="Calibri" w:hAnsi="Arial" w:cs="Arial"/>
          <w:spacing w:val="-1"/>
          <w:sz w:val="17"/>
          <w:szCs w:val="17"/>
        </w:rPr>
        <w:t>”, se registra</w:t>
      </w:r>
      <w:r>
        <w:rPr>
          <w:rFonts w:ascii="Arial" w:eastAsia="Calibri" w:hAnsi="Arial" w:cs="Arial"/>
          <w:spacing w:val="-1"/>
          <w:sz w:val="17"/>
          <w:szCs w:val="17"/>
        </w:rPr>
        <w:t>ron de la siguiente manera:</w:t>
      </w: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146"/>
        <w:gridCol w:w="8930"/>
        <w:gridCol w:w="24"/>
        <w:gridCol w:w="1298"/>
        <w:gridCol w:w="24"/>
        <w:gridCol w:w="70"/>
      </w:tblGrid>
      <w:tr w:rsidR="00B360D9" w:rsidTr="00946A49">
        <w:trPr>
          <w:trHeight w:val="300"/>
        </w:trPr>
        <w:tc>
          <w:tcPr>
            <w:tcW w:w="10492" w:type="dxa"/>
            <w:gridSpan w:val="6"/>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360D9" w:rsidRPr="00B360D9" w:rsidRDefault="00B360D9" w:rsidP="00DD6F0D">
            <w:pPr>
              <w:tabs>
                <w:tab w:val="left" w:pos="9859"/>
              </w:tabs>
              <w:jc w:val="center"/>
              <w:rPr>
                <w:rFonts w:ascii="Arial" w:hAnsi="Arial" w:cs="Arial"/>
                <w:color w:val="000000"/>
                <w:sz w:val="17"/>
                <w:szCs w:val="17"/>
              </w:rPr>
            </w:pPr>
            <w:r w:rsidRPr="00DB0A89">
              <w:rPr>
                <w:rFonts w:ascii="Arial" w:hAnsi="Arial" w:cs="Arial"/>
                <w:b/>
                <w:bCs/>
                <w:color w:val="000000"/>
                <w:sz w:val="17"/>
                <w:szCs w:val="17"/>
              </w:rPr>
              <w:t>Secretaría de Planeación y Finanzas</w:t>
            </w:r>
          </w:p>
        </w:tc>
      </w:tr>
      <w:tr w:rsidR="00B360D9" w:rsidTr="00946A49">
        <w:trPr>
          <w:gridAfter w:val="2"/>
          <w:wAfter w:w="94"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946A49" w:rsidP="00DD6F0D">
            <w:pPr>
              <w:ind w:right="1277"/>
              <w:rPr>
                <w:rFonts w:ascii="Arial" w:hAnsi="Arial" w:cs="Arial"/>
                <w:color w:val="000000"/>
                <w:sz w:val="17"/>
                <w:szCs w:val="17"/>
              </w:rPr>
            </w:pPr>
            <w:r w:rsidRPr="00DB0A89">
              <w:rPr>
                <w:rFonts w:ascii="Arial" w:hAnsi="Arial" w:cs="Arial"/>
                <w:color w:val="000000"/>
                <w:sz w:val="17"/>
                <w:szCs w:val="17"/>
              </w:rPr>
              <w:t>Fondo metropolitano ciudad de Querétaro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128,187,684.65</w:t>
            </w:r>
          </w:p>
        </w:tc>
      </w:tr>
      <w:tr w:rsidR="001E6C3B" w:rsidTr="00946A49">
        <w:trPr>
          <w:gridAfter w:val="2"/>
          <w:wAfter w:w="94" w:type="dxa"/>
          <w:trHeight w:val="300"/>
        </w:trPr>
        <w:tc>
          <w:tcPr>
            <w:tcW w:w="146" w:type="dxa"/>
            <w:tcBorders>
              <w:top w:val="nil"/>
              <w:left w:val="nil"/>
              <w:bottom w:val="nil"/>
              <w:right w:val="nil"/>
            </w:tcBorders>
            <w:shd w:val="clear" w:color="auto" w:fill="auto"/>
            <w:noWrap/>
            <w:vAlign w:val="bottom"/>
          </w:tcPr>
          <w:p w:rsidR="001E6C3B" w:rsidRPr="00DB0A89" w:rsidRDefault="001E6C3B" w:rsidP="00DD6F0D">
            <w:pPr>
              <w:jc w:val="right"/>
              <w:rPr>
                <w:rFonts w:ascii="Arial" w:hAnsi="Arial" w:cs="Arial"/>
                <w:color w:val="000000"/>
                <w:sz w:val="17"/>
                <w:szCs w:val="17"/>
              </w:rPr>
            </w:pPr>
          </w:p>
        </w:tc>
        <w:tc>
          <w:tcPr>
            <w:tcW w:w="8930" w:type="dxa"/>
            <w:tcBorders>
              <w:top w:val="nil"/>
              <w:left w:val="single" w:sz="4" w:space="0" w:color="auto"/>
              <w:bottom w:val="single" w:sz="4" w:space="0" w:color="auto"/>
              <w:right w:val="single" w:sz="4" w:space="0" w:color="auto"/>
            </w:tcBorders>
            <w:shd w:val="clear" w:color="auto" w:fill="auto"/>
            <w:noWrap/>
            <w:vAlign w:val="bottom"/>
          </w:tcPr>
          <w:p w:rsidR="001E6C3B" w:rsidRPr="00DB0A89" w:rsidRDefault="00946A49" w:rsidP="00DD6F0D">
            <w:pPr>
              <w:ind w:right="1277"/>
              <w:rPr>
                <w:rFonts w:ascii="Arial" w:hAnsi="Arial" w:cs="Arial"/>
                <w:color w:val="000000"/>
                <w:sz w:val="17"/>
                <w:szCs w:val="17"/>
              </w:rPr>
            </w:pPr>
            <w:r w:rsidRPr="001E6C3B">
              <w:rPr>
                <w:rFonts w:ascii="Arial" w:hAnsi="Arial" w:cs="Arial"/>
                <w:color w:val="000000"/>
                <w:sz w:val="17"/>
                <w:szCs w:val="17"/>
              </w:rPr>
              <w:t>Fideicomiso de apoyo para la implementación de la reforma al s</w:t>
            </w:r>
            <w:r>
              <w:rPr>
                <w:rFonts w:ascii="Arial" w:hAnsi="Arial" w:cs="Arial"/>
                <w:color w:val="000000"/>
                <w:sz w:val="17"/>
                <w:szCs w:val="17"/>
              </w:rPr>
              <w:t>istema de justicia penal en el E</w:t>
            </w:r>
            <w:r w:rsidRPr="001E6C3B">
              <w:rPr>
                <w:rFonts w:ascii="Arial" w:hAnsi="Arial" w:cs="Arial"/>
                <w:color w:val="000000"/>
                <w:sz w:val="17"/>
                <w:szCs w:val="17"/>
              </w:rPr>
              <w:t>stado de Querétaro</w:t>
            </w:r>
          </w:p>
        </w:tc>
        <w:tc>
          <w:tcPr>
            <w:tcW w:w="1322" w:type="dxa"/>
            <w:gridSpan w:val="2"/>
            <w:tcBorders>
              <w:top w:val="nil"/>
              <w:left w:val="nil"/>
              <w:bottom w:val="single" w:sz="4" w:space="0" w:color="auto"/>
              <w:right w:val="single" w:sz="4" w:space="0" w:color="auto"/>
            </w:tcBorders>
            <w:shd w:val="clear" w:color="auto" w:fill="auto"/>
            <w:noWrap/>
            <w:vAlign w:val="bottom"/>
          </w:tcPr>
          <w:p w:rsidR="001E6C3B" w:rsidRPr="006E791A" w:rsidRDefault="001E6C3B" w:rsidP="00DD6F0D">
            <w:pPr>
              <w:jc w:val="right"/>
              <w:rPr>
                <w:rFonts w:ascii="Arial" w:hAnsi="Arial" w:cs="Arial"/>
                <w:color w:val="000000"/>
                <w:sz w:val="17"/>
                <w:szCs w:val="17"/>
              </w:rPr>
            </w:pPr>
            <w:r w:rsidRPr="001E6C3B">
              <w:rPr>
                <w:rFonts w:ascii="Arial" w:hAnsi="Arial" w:cs="Arial"/>
                <w:color w:val="000000"/>
                <w:sz w:val="17"/>
                <w:szCs w:val="17"/>
              </w:rPr>
              <w:t>40,283,790.76</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nil"/>
              <w:bottom w:val="nil"/>
              <w:right w:val="nil"/>
            </w:tcBorders>
            <w:shd w:val="clear" w:color="auto" w:fill="auto"/>
            <w:noWrap/>
            <w:vAlign w:val="bottom"/>
            <w:hideMark/>
          </w:tcPr>
          <w:p w:rsidR="00DB0A89" w:rsidRDefault="00DB0A89" w:rsidP="00DD6F0D">
            <w:pPr>
              <w:rPr>
                <w:rFonts w:ascii="Arial" w:hAnsi="Arial" w:cs="Arial"/>
                <w:sz w:val="17"/>
                <w:szCs w:val="17"/>
              </w:rPr>
            </w:pPr>
          </w:p>
          <w:p w:rsidR="001E6C3B" w:rsidRPr="00DB0A89" w:rsidRDefault="001E6C3B" w:rsidP="00DD6F0D">
            <w:pPr>
              <w:rPr>
                <w:rFonts w:ascii="Arial" w:hAnsi="Arial" w:cs="Arial"/>
                <w:sz w:val="17"/>
                <w:szCs w:val="17"/>
              </w:rPr>
            </w:pPr>
          </w:p>
        </w:tc>
        <w:tc>
          <w:tcPr>
            <w:tcW w:w="1322" w:type="dxa"/>
            <w:gridSpan w:val="2"/>
            <w:tcBorders>
              <w:top w:val="nil"/>
              <w:left w:val="nil"/>
              <w:bottom w:val="nil"/>
              <w:right w:val="nil"/>
            </w:tcBorders>
            <w:shd w:val="clear" w:color="auto" w:fill="auto"/>
            <w:noWrap/>
            <w:vAlign w:val="bottom"/>
            <w:hideMark/>
          </w:tcPr>
          <w:p w:rsidR="00DB0A89" w:rsidRPr="00DB0A89" w:rsidRDefault="00DB0A89" w:rsidP="00DD6F0D">
            <w:pPr>
              <w:rPr>
                <w:rFonts w:ascii="Arial" w:hAnsi="Arial" w:cs="Arial"/>
                <w:sz w:val="17"/>
                <w:szCs w:val="17"/>
              </w:rPr>
            </w:pPr>
          </w:p>
        </w:tc>
      </w:tr>
      <w:tr w:rsidR="00B360D9" w:rsidTr="00946A49">
        <w:trPr>
          <w:gridAfter w:val="1"/>
          <w:wAfter w:w="70" w:type="dxa"/>
          <w:trHeight w:val="300"/>
        </w:trPr>
        <w:tc>
          <w:tcPr>
            <w:tcW w:w="10422"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360D9" w:rsidRPr="00DB0A89" w:rsidRDefault="00B360D9" w:rsidP="00DD6F0D">
            <w:pPr>
              <w:jc w:val="center"/>
              <w:rPr>
                <w:rFonts w:ascii="Arial" w:hAnsi="Arial" w:cs="Arial"/>
                <w:b/>
                <w:bCs/>
                <w:color w:val="000000"/>
                <w:sz w:val="17"/>
                <w:szCs w:val="17"/>
              </w:rPr>
            </w:pPr>
            <w:r w:rsidRPr="00DB0A89">
              <w:rPr>
                <w:rFonts w:ascii="Arial" w:hAnsi="Arial" w:cs="Arial"/>
                <w:b/>
                <w:bCs/>
                <w:color w:val="000000"/>
                <w:sz w:val="17"/>
                <w:szCs w:val="17"/>
              </w:rPr>
              <w:t>Secretaría de Desarrollo Agropecuario</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center"/>
              <w:rPr>
                <w:rFonts w:ascii="Arial" w:hAnsi="Arial" w:cs="Arial"/>
                <w:b/>
                <w:bCs/>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946A49" w:rsidP="00DD6F0D">
            <w:pPr>
              <w:rPr>
                <w:rFonts w:ascii="Arial" w:hAnsi="Arial" w:cs="Arial"/>
                <w:color w:val="000000"/>
                <w:sz w:val="17"/>
                <w:szCs w:val="17"/>
              </w:rPr>
            </w:pPr>
            <w:r w:rsidRPr="00DB0A89">
              <w:rPr>
                <w:rFonts w:ascii="Arial" w:hAnsi="Arial" w:cs="Arial"/>
                <w:color w:val="000000"/>
                <w:sz w:val="17"/>
                <w:szCs w:val="17"/>
              </w:rPr>
              <w:t>Fideicomiso irrevocable de inversión</w:t>
            </w:r>
            <w:r w:rsidR="00DB0A89" w:rsidRPr="00DB0A89">
              <w:rPr>
                <w:rFonts w:ascii="Arial" w:hAnsi="Arial" w:cs="Arial"/>
                <w:color w:val="000000"/>
                <w:sz w:val="17"/>
                <w:szCs w:val="17"/>
              </w:rPr>
              <w:t xml:space="preserve">, </w:t>
            </w:r>
            <w:r w:rsidRPr="00DB0A89">
              <w:rPr>
                <w:rFonts w:ascii="Arial" w:hAnsi="Arial" w:cs="Arial"/>
                <w:color w:val="000000"/>
                <w:sz w:val="17"/>
                <w:szCs w:val="17"/>
              </w:rPr>
              <w:t>administración y garantía "FIRE</w:t>
            </w:r>
            <w:r>
              <w:rPr>
                <w:rFonts w:ascii="Arial" w:hAnsi="Arial" w:cs="Arial"/>
                <w:color w:val="000000"/>
                <w:sz w:val="17"/>
                <w:szCs w:val="17"/>
              </w:rPr>
              <w:t xml:space="preserve"> </w:t>
            </w:r>
            <w:r w:rsidRPr="00DB0A89">
              <w:rPr>
                <w:rFonts w:ascii="Arial" w:hAnsi="Arial" w:cs="Arial"/>
                <w:color w:val="000000"/>
                <w:sz w:val="17"/>
                <w:szCs w:val="17"/>
              </w:rPr>
              <w:t>2000"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1,044,917.16</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946A49" w:rsidP="00DD6F0D">
            <w:pPr>
              <w:rPr>
                <w:rFonts w:ascii="Arial" w:hAnsi="Arial" w:cs="Arial"/>
                <w:color w:val="000000"/>
                <w:sz w:val="17"/>
                <w:szCs w:val="17"/>
              </w:rPr>
            </w:pPr>
            <w:r w:rsidRPr="00DB0A89">
              <w:rPr>
                <w:rFonts w:ascii="Arial" w:hAnsi="Arial" w:cs="Arial"/>
                <w:color w:val="000000"/>
                <w:sz w:val="17"/>
                <w:szCs w:val="17"/>
              </w:rPr>
              <w:t xml:space="preserve">Fideicomiso fondo de diversificación productiva en la </w:t>
            </w:r>
            <w:r>
              <w:rPr>
                <w:rFonts w:ascii="Arial" w:hAnsi="Arial" w:cs="Arial"/>
                <w:color w:val="000000"/>
                <w:sz w:val="17"/>
                <w:szCs w:val="17"/>
              </w:rPr>
              <w:t>S</w:t>
            </w:r>
            <w:r w:rsidRPr="00DB0A89">
              <w:rPr>
                <w:rFonts w:ascii="Arial" w:hAnsi="Arial" w:cs="Arial"/>
                <w:color w:val="000000"/>
                <w:sz w:val="17"/>
                <w:szCs w:val="17"/>
              </w:rPr>
              <w:t xml:space="preserve">ierra </w:t>
            </w:r>
            <w:r>
              <w:rPr>
                <w:rFonts w:ascii="Arial" w:hAnsi="Arial" w:cs="Arial"/>
                <w:color w:val="000000"/>
                <w:sz w:val="17"/>
                <w:szCs w:val="17"/>
              </w:rPr>
              <w:t>G</w:t>
            </w:r>
            <w:r w:rsidRPr="00DB0A89">
              <w:rPr>
                <w:rFonts w:ascii="Arial" w:hAnsi="Arial" w:cs="Arial"/>
                <w:color w:val="000000"/>
                <w:sz w:val="17"/>
                <w:szCs w:val="17"/>
              </w:rPr>
              <w:t>orda</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1,060,672.70</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946A49" w:rsidP="00DD6F0D">
            <w:pPr>
              <w:rPr>
                <w:rFonts w:ascii="Arial" w:hAnsi="Arial" w:cs="Arial"/>
                <w:color w:val="000000"/>
                <w:sz w:val="17"/>
                <w:szCs w:val="17"/>
              </w:rPr>
            </w:pPr>
            <w:r w:rsidRPr="00DB0A89">
              <w:rPr>
                <w:rFonts w:ascii="Arial" w:hAnsi="Arial" w:cs="Arial"/>
                <w:color w:val="000000"/>
                <w:sz w:val="17"/>
                <w:szCs w:val="17"/>
              </w:rPr>
              <w:t xml:space="preserve">Fondo de garantía para las empresas de solidaridad del </w:t>
            </w:r>
            <w:r>
              <w:rPr>
                <w:rFonts w:ascii="Arial" w:hAnsi="Arial" w:cs="Arial"/>
                <w:color w:val="000000"/>
                <w:sz w:val="17"/>
                <w:szCs w:val="17"/>
              </w:rPr>
              <w:t>E</w:t>
            </w:r>
            <w:r w:rsidRPr="00DB0A89">
              <w:rPr>
                <w:rFonts w:ascii="Arial" w:hAnsi="Arial" w:cs="Arial"/>
                <w:color w:val="000000"/>
                <w:sz w:val="17"/>
                <w:szCs w:val="17"/>
              </w:rPr>
              <w:t>stado de Querétaro (FOGAESEQ)</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14,089,585.82</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946A49" w:rsidP="00DD6F0D">
            <w:pPr>
              <w:rPr>
                <w:rFonts w:ascii="Arial" w:hAnsi="Arial" w:cs="Arial"/>
                <w:color w:val="000000"/>
                <w:sz w:val="17"/>
                <w:szCs w:val="17"/>
              </w:rPr>
            </w:pPr>
            <w:r w:rsidRPr="00DB0A89">
              <w:rPr>
                <w:rFonts w:ascii="Arial" w:hAnsi="Arial" w:cs="Arial"/>
                <w:color w:val="000000"/>
                <w:sz w:val="17"/>
                <w:szCs w:val="17"/>
              </w:rPr>
              <w:t>Fon</w:t>
            </w:r>
            <w:r>
              <w:rPr>
                <w:rFonts w:ascii="Arial" w:hAnsi="Arial" w:cs="Arial"/>
                <w:color w:val="000000"/>
                <w:sz w:val="17"/>
                <w:szCs w:val="17"/>
              </w:rPr>
              <w:t>do de fomento agropecuario del E</w:t>
            </w:r>
            <w:r w:rsidRPr="00DB0A89">
              <w:rPr>
                <w:rFonts w:ascii="Arial" w:hAnsi="Arial" w:cs="Arial"/>
                <w:color w:val="000000"/>
                <w:sz w:val="17"/>
                <w:szCs w:val="17"/>
              </w:rPr>
              <w:t>stado de Querétaro (FOFAE)</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212,582,220.73</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nil"/>
              <w:bottom w:val="nil"/>
              <w:right w:val="nil"/>
            </w:tcBorders>
            <w:shd w:val="clear" w:color="auto" w:fill="auto"/>
            <w:noWrap/>
            <w:vAlign w:val="bottom"/>
            <w:hideMark/>
          </w:tcPr>
          <w:p w:rsidR="00DB0A89" w:rsidRPr="00DB0A89" w:rsidRDefault="00DB0A89" w:rsidP="00DD6F0D">
            <w:pPr>
              <w:rPr>
                <w:rFonts w:ascii="Arial" w:hAnsi="Arial" w:cs="Arial"/>
                <w:sz w:val="17"/>
                <w:szCs w:val="17"/>
              </w:rPr>
            </w:pPr>
          </w:p>
        </w:tc>
        <w:tc>
          <w:tcPr>
            <w:tcW w:w="1322" w:type="dxa"/>
            <w:gridSpan w:val="2"/>
            <w:tcBorders>
              <w:top w:val="nil"/>
              <w:left w:val="nil"/>
              <w:bottom w:val="nil"/>
              <w:right w:val="nil"/>
            </w:tcBorders>
            <w:shd w:val="clear" w:color="auto" w:fill="auto"/>
            <w:noWrap/>
            <w:vAlign w:val="bottom"/>
            <w:hideMark/>
          </w:tcPr>
          <w:p w:rsidR="00DB0A89" w:rsidRPr="00DB0A89" w:rsidRDefault="00DB0A89" w:rsidP="00DD6F0D">
            <w:pPr>
              <w:rPr>
                <w:rFonts w:ascii="Arial" w:hAnsi="Arial" w:cs="Arial"/>
                <w:sz w:val="17"/>
                <w:szCs w:val="17"/>
              </w:rPr>
            </w:pPr>
          </w:p>
        </w:tc>
      </w:tr>
      <w:tr w:rsidR="00B360D9" w:rsidTr="00946A49">
        <w:trPr>
          <w:gridAfter w:val="1"/>
          <w:wAfter w:w="70" w:type="dxa"/>
          <w:trHeight w:val="300"/>
        </w:trPr>
        <w:tc>
          <w:tcPr>
            <w:tcW w:w="10422"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360D9" w:rsidRPr="00DB0A89" w:rsidRDefault="00B360D9" w:rsidP="00DD6F0D">
            <w:pPr>
              <w:jc w:val="center"/>
              <w:rPr>
                <w:rFonts w:ascii="Arial" w:hAnsi="Arial" w:cs="Arial"/>
                <w:b/>
                <w:bCs/>
                <w:color w:val="000000"/>
                <w:sz w:val="17"/>
                <w:szCs w:val="17"/>
              </w:rPr>
            </w:pPr>
            <w:r w:rsidRPr="00DB0A89">
              <w:rPr>
                <w:rFonts w:ascii="Arial" w:hAnsi="Arial" w:cs="Arial"/>
                <w:b/>
                <w:bCs/>
                <w:color w:val="000000"/>
                <w:sz w:val="17"/>
                <w:szCs w:val="17"/>
              </w:rPr>
              <w:t>Secretaría de Educación</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center"/>
              <w:rPr>
                <w:rFonts w:ascii="Arial" w:hAnsi="Arial" w:cs="Arial"/>
                <w:b/>
                <w:bCs/>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DB0A89" w:rsidP="00DD6F0D">
            <w:pPr>
              <w:rPr>
                <w:rFonts w:ascii="Arial" w:hAnsi="Arial" w:cs="Arial"/>
                <w:color w:val="000000"/>
                <w:sz w:val="17"/>
                <w:szCs w:val="17"/>
              </w:rPr>
            </w:pPr>
            <w:r w:rsidRPr="00DB0A89">
              <w:rPr>
                <w:rFonts w:ascii="Arial" w:hAnsi="Arial" w:cs="Arial"/>
                <w:color w:val="000000"/>
                <w:sz w:val="17"/>
                <w:szCs w:val="17"/>
              </w:rPr>
              <w:t>PRONABES</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11,791,809.06</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946A49" w:rsidP="00DD6F0D">
            <w:pPr>
              <w:rPr>
                <w:rFonts w:ascii="Arial" w:hAnsi="Arial" w:cs="Arial"/>
                <w:color w:val="000000"/>
                <w:sz w:val="17"/>
                <w:szCs w:val="17"/>
              </w:rPr>
            </w:pPr>
            <w:r w:rsidRPr="00DB0A89">
              <w:rPr>
                <w:rFonts w:ascii="Arial" w:hAnsi="Arial" w:cs="Arial"/>
                <w:color w:val="000000"/>
                <w:sz w:val="17"/>
                <w:szCs w:val="17"/>
              </w:rPr>
              <w:t>Fideicomiso de administración e inversión 244/2 de la filarmónica de Querétaro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2,089.68</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946A49" w:rsidP="00DD6F0D">
            <w:pPr>
              <w:rPr>
                <w:rFonts w:ascii="Arial" w:hAnsi="Arial" w:cs="Arial"/>
                <w:color w:val="000000"/>
                <w:sz w:val="17"/>
                <w:szCs w:val="17"/>
              </w:rPr>
            </w:pPr>
            <w:r w:rsidRPr="00DB0A89">
              <w:rPr>
                <w:rFonts w:ascii="Arial" w:hAnsi="Arial" w:cs="Arial"/>
                <w:color w:val="000000"/>
                <w:sz w:val="17"/>
                <w:szCs w:val="17"/>
              </w:rPr>
              <w:t>Fideicomiso para la</w:t>
            </w:r>
            <w:r w:rsidR="006B5715">
              <w:rPr>
                <w:rFonts w:ascii="Arial" w:hAnsi="Arial" w:cs="Arial"/>
                <w:color w:val="000000"/>
                <w:sz w:val="17"/>
                <w:szCs w:val="17"/>
              </w:rPr>
              <w:t xml:space="preserve"> </w:t>
            </w:r>
            <w:r w:rsidRPr="00DB0A89">
              <w:rPr>
                <w:rFonts w:ascii="Arial" w:hAnsi="Arial" w:cs="Arial"/>
                <w:color w:val="000000"/>
                <w:sz w:val="17"/>
                <w:szCs w:val="17"/>
              </w:rPr>
              <w:t>vivienda del magisterio de Querétaro</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15,713,343.00</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right"/>
              <w:rPr>
                <w:rFonts w:ascii="Arial" w:hAnsi="Arial" w:cs="Arial"/>
                <w:color w:val="000000"/>
                <w:sz w:val="17"/>
                <w:szCs w:val="17"/>
              </w:rPr>
            </w:pPr>
          </w:p>
        </w:tc>
        <w:tc>
          <w:tcPr>
            <w:tcW w:w="8954" w:type="dxa"/>
            <w:gridSpan w:val="2"/>
            <w:tcBorders>
              <w:top w:val="nil"/>
              <w:left w:val="nil"/>
              <w:bottom w:val="nil"/>
              <w:right w:val="nil"/>
            </w:tcBorders>
            <w:shd w:val="clear" w:color="auto" w:fill="auto"/>
            <w:noWrap/>
            <w:vAlign w:val="bottom"/>
            <w:hideMark/>
          </w:tcPr>
          <w:p w:rsidR="00DB0A89" w:rsidRPr="00DB0A89" w:rsidRDefault="00DB0A89" w:rsidP="00DD6F0D">
            <w:pPr>
              <w:rPr>
                <w:rFonts w:ascii="Arial" w:hAnsi="Arial" w:cs="Arial"/>
                <w:sz w:val="17"/>
                <w:szCs w:val="17"/>
              </w:rPr>
            </w:pPr>
          </w:p>
        </w:tc>
        <w:tc>
          <w:tcPr>
            <w:tcW w:w="1322" w:type="dxa"/>
            <w:gridSpan w:val="2"/>
            <w:tcBorders>
              <w:top w:val="nil"/>
              <w:left w:val="nil"/>
              <w:bottom w:val="nil"/>
              <w:right w:val="nil"/>
            </w:tcBorders>
            <w:shd w:val="clear" w:color="auto" w:fill="auto"/>
            <w:noWrap/>
            <w:vAlign w:val="bottom"/>
            <w:hideMark/>
          </w:tcPr>
          <w:p w:rsidR="00DB0A89" w:rsidRPr="00DB0A89" w:rsidRDefault="00DB0A89" w:rsidP="00DD6F0D">
            <w:pPr>
              <w:rPr>
                <w:rFonts w:ascii="Arial" w:hAnsi="Arial" w:cs="Arial"/>
                <w:sz w:val="17"/>
                <w:szCs w:val="17"/>
              </w:rPr>
            </w:pPr>
          </w:p>
        </w:tc>
      </w:tr>
      <w:tr w:rsidR="00B360D9" w:rsidTr="00946A49">
        <w:trPr>
          <w:gridAfter w:val="1"/>
          <w:wAfter w:w="70" w:type="dxa"/>
          <w:trHeight w:val="300"/>
        </w:trPr>
        <w:tc>
          <w:tcPr>
            <w:tcW w:w="10422"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360D9" w:rsidRPr="00DB0A89" w:rsidRDefault="00B360D9" w:rsidP="00DD6F0D">
            <w:pPr>
              <w:jc w:val="center"/>
              <w:rPr>
                <w:rFonts w:ascii="Arial" w:hAnsi="Arial" w:cs="Arial"/>
                <w:b/>
                <w:bCs/>
                <w:color w:val="000000"/>
                <w:sz w:val="17"/>
                <w:szCs w:val="17"/>
              </w:rPr>
            </w:pPr>
            <w:r w:rsidRPr="00DB0A89">
              <w:rPr>
                <w:rFonts w:ascii="Arial" w:hAnsi="Arial" w:cs="Arial"/>
                <w:b/>
                <w:bCs/>
                <w:color w:val="000000"/>
                <w:sz w:val="17"/>
                <w:szCs w:val="17"/>
              </w:rPr>
              <w:t>Secretaría de Turismo</w:t>
            </w:r>
          </w:p>
        </w:tc>
      </w:tr>
      <w:tr w:rsidR="00B360D9" w:rsidTr="00946A49">
        <w:trPr>
          <w:gridAfter w:val="1"/>
          <w:wAfter w:w="70" w:type="dxa"/>
          <w:trHeight w:val="300"/>
        </w:trPr>
        <w:tc>
          <w:tcPr>
            <w:tcW w:w="146" w:type="dxa"/>
            <w:tcBorders>
              <w:top w:val="nil"/>
              <w:left w:val="nil"/>
              <w:bottom w:val="nil"/>
              <w:right w:val="nil"/>
            </w:tcBorders>
            <w:shd w:val="clear" w:color="auto" w:fill="auto"/>
            <w:noWrap/>
            <w:vAlign w:val="bottom"/>
            <w:hideMark/>
          </w:tcPr>
          <w:p w:rsidR="00DB0A89" w:rsidRPr="00DB0A89" w:rsidRDefault="00DB0A89" w:rsidP="00DD6F0D">
            <w:pPr>
              <w:jc w:val="center"/>
              <w:rPr>
                <w:rFonts w:ascii="Arial" w:hAnsi="Arial" w:cs="Arial"/>
                <w:b/>
                <w:bCs/>
                <w:color w:val="000000"/>
                <w:sz w:val="17"/>
                <w:szCs w:val="17"/>
              </w:rPr>
            </w:pPr>
          </w:p>
        </w:tc>
        <w:tc>
          <w:tcPr>
            <w:tcW w:w="8954" w:type="dxa"/>
            <w:gridSpan w:val="2"/>
            <w:tcBorders>
              <w:top w:val="nil"/>
              <w:left w:val="single" w:sz="4" w:space="0" w:color="auto"/>
              <w:bottom w:val="single" w:sz="4" w:space="0" w:color="auto"/>
              <w:right w:val="single" w:sz="4" w:space="0" w:color="auto"/>
            </w:tcBorders>
            <w:shd w:val="clear" w:color="auto" w:fill="auto"/>
            <w:noWrap/>
            <w:vAlign w:val="bottom"/>
            <w:hideMark/>
          </w:tcPr>
          <w:p w:rsidR="00DB0A89" w:rsidRPr="00DB0A89" w:rsidRDefault="00551803" w:rsidP="00DD6F0D">
            <w:pPr>
              <w:rPr>
                <w:rFonts w:ascii="Arial" w:hAnsi="Arial" w:cs="Arial"/>
                <w:color w:val="000000"/>
                <w:sz w:val="17"/>
                <w:szCs w:val="17"/>
              </w:rPr>
            </w:pPr>
            <w:r w:rsidRPr="00DB0A89">
              <w:rPr>
                <w:rFonts w:ascii="Arial" w:hAnsi="Arial" w:cs="Arial"/>
                <w:color w:val="000000"/>
                <w:sz w:val="17"/>
                <w:szCs w:val="17"/>
              </w:rPr>
              <w:t>Fideico</w:t>
            </w:r>
            <w:r>
              <w:rPr>
                <w:rFonts w:ascii="Arial" w:hAnsi="Arial" w:cs="Arial"/>
                <w:color w:val="000000"/>
                <w:sz w:val="17"/>
                <w:szCs w:val="17"/>
              </w:rPr>
              <w:t>miso promotor de turismo en el E</w:t>
            </w:r>
            <w:r w:rsidRPr="00DB0A89">
              <w:rPr>
                <w:rFonts w:ascii="Arial" w:hAnsi="Arial" w:cs="Arial"/>
                <w:color w:val="000000"/>
                <w:sz w:val="17"/>
                <w:szCs w:val="17"/>
              </w:rPr>
              <w:t>stado de Querétaro "FIPROTUR"</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DB0A89" w:rsidRPr="00DB0A89" w:rsidRDefault="001E6C3B" w:rsidP="00DD6F0D">
            <w:pPr>
              <w:jc w:val="right"/>
              <w:rPr>
                <w:rFonts w:ascii="Arial" w:hAnsi="Arial" w:cs="Arial"/>
                <w:color w:val="000000"/>
                <w:sz w:val="17"/>
                <w:szCs w:val="17"/>
              </w:rPr>
            </w:pPr>
            <w:r w:rsidRPr="001E6C3B">
              <w:rPr>
                <w:rFonts w:ascii="Arial" w:hAnsi="Arial" w:cs="Arial"/>
                <w:color w:val="000000"/>
                <w:sz w:val="17"/>
                <w:szCs w:val="17"/>
              </w:rPr>
              <w:t>8,456.51</w:t>
            </w:r>
          </w:p>
        </w:tc>
      </w:tr>
    </w:tbl>
    <w:p w:rsidR="00DD6F0D" w:rsidRDefault="00DD6F0D" w:rsidP="00A67440">
      <w:pPr>
        <w:spacing w:before="120" w:after="120" w:line="240" w:lineRule="exact"/>
        <w:jc w:val="both"/>
        <w:rPr>
          <w:rFonts w:ascii="Arial" w:eastAsia="Calibri" w:hAnsi="Arial" w:cs="Arial"/>
          <w:spacing w:val="-1"/>
          <w:sz w:val="17"/>
          <w:szCs w:val="17"/>
        </w:rPr>
      </w:pPr>
    </w:p>
    <w:p w:rsidR="00DD6F0D" w:rsidRPr="00DD6F0D" w:rsidRDefault="00DD6F0D" w:rsidP="00DD6F0D">
      <w:pPr>
        <w:rPr>
          <w:rFonts w:ascii="Arial" w:eastAsia="Calibri" w:hAnsi="Arial" w:cs="Arial"/>
          <w:sz w:val="17"/>
          <w:szCs w:val="17"/>
        </w:rPr>
      </w:pPr>
    </w:p>
    <w:p w:rsidR="00DD6F0D" w:rsidRPr="00DD6F0D" w:rsidRDefault="00DD6F0D" w:rsidP="00DD6F0D">
      <w:pPr>
        <w:rPr>
          <w:rFonts w:ascii="Arial" w:eastAsia="Calibri" w:hAnsi="Arial" w:cs="Arial"/>
          <w:sz w:val="17"/>
          <w:szCs w:val="17"/>
        </w:rPr>
      </w:pPr>
    </w:p>
    <w:p w:rsidR="00DD6F0D" w:rsidRPr="00DD6F0D" w:rsidRDefault="00DD6F0D" w:rsidP="00DD6F0D">
      <w:pPr>
        <w:rPr>
          <w:rFonts w:ascii="Arial" w:eastAsia="Calibri" w:hAnsi="Arial" w:cs="Arial"/>
          <w:sz w:val="17"/>
          <w:szCs w:val="17"/>
        </w:rPr>
      </w:pPr>
    </w:p>
    <w:p w:rsidR="00DD6F0D" w:rsidRPr="00DD6F0D" w:rsidRDefault="00DD6F0D" w:rsidP="00DD6F0D">
      <w:pPr>
        <w:rPr>
          <w:rFonts w:ascii="Arial" w:eastAsia="Calibri" w:hAnsi="Arial" w:cs="Arial"/>
          <w:sz w:val="17"/>
          <w:szCs w:val="17"/>
        </w:rPr>
      </w:pPr>
    </w:p>
    <w:p w:rsidR="00DA3F3D" w:rsidRDefault="00DD6F0D"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br w:type="textWrapping" w:clear="all"/>
      </w:r>
    </w:p>
    <w:p w:rsidR="006033FC" w:rsidRDefault="006033FC"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señala que el Fideicomiso con INVEX para la administración y pago de las obligaciones derivadas de la deuda con BBVA</w:t>
      </w:r>
      <w:r w:rsidR="00F94F3E">
        <w:rPr>
          <w:rFonts w:ascii="Arial" w:eastAsia="Calibri" w:hAnsi="Arial" w:cs="Arial"/>
          <w:spacing w:val="-1"/>
          <w:sz w:val="17"/>
          <w:szCs w:val="17"/>
        </w:rPr>
        <w:t xml:space="preserve"> presenta saldo 0.00 al cierre del ejercicio fiscal 2016.</w:t>
      </w:r>
    </w:p>
    <w:p w:rsidR="00FD4869" w:rsidRDefault="00FD4869"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862F78" w:rsidRDefault="00B360D9" w:rsidP="00B360D9">
      <w:pPr>
        <w:spacing w:before="120" w:after="120" w:line="240" w:lineRule="exact"/>
        <w:jc w:val="both"/>
        <w:rPr>
          <w:rFonts w:ascii="Arial" w:eastAsia="Calibri" w:hAnsi="Arial" w:cs="Arial"/>
          <w:spacing w:val="-1"/>
          <w:sz w:val="17"/>
          <w:szCs w:val="17"/>
        </w:rPr>
      </w:pPr>
      <w:r w:rsidRPr="00B360D9">
        <w:rPr>
          <w:rFonts w:ascii="Arial" w:eastAsia="Calibri" w:hAnsi="Arial" w:cs="Arial"/>
          <w:spacing w:val="-1"/>
          <w:sz w:val="17"/>
          <w:szCs w:val="17"/>
        </w:rPr>
        <w:t xml:space="preserve">El rubro que mayor recaudación implica para el Poder Ejecutivo del Estado de Querétaro en el ámbito de los Ingresos de Gestión, es el relativo a los impuestos, </w:t>
      </w:r>
      <w:r w:rsidR="00FD6CFD">
        <w:rPr>
          <w:rFonts w:ascii="Arial" w:eastAsia="Calibri" w:hAnsi="Arial" w:cs="Arial"/>
          <w:spacing w:val="-1"/>
          <w:sz w:val="17"/>
          <w:szCs w:val="17"/>
        </w:rPr>
        <w:t>al cierre</w:t>
      </w:r>
      <w:r w:rsidR="0027160A">
        <w:rPr>
          <w:rFonts w:ascii="Arial" w:eastAsia="Calibri" w:hAnsi="Arial" w:cs="Arial"/>
          <w:spacing w:val="-1"/>
          <w:sz w:val="17"/>
          <w:szCs w:val="17"/>
        </w:rPr>
        <w:t xml:space="preserve"> d</w:t>
      </w:r>
      <w:r w:rsidRPr="00B360D9">
        <w:rPr>
          <w:rFonts w:ascii="Arial" w:eastAsia="Calibri" w:hAnsi="Arial" w:cs="Arial"/>
          <w:spacing w:val="-1"/>
          <w:sz w:val="17"/>
          <w:szCs w:val="17"/>
        </w:rPr>
        <w:t xml:space="preserve">el </w:t>
      </w:r>
      <w:r>
        <w:rPr>
          <w:rFonts w:ascii="Arial" w:eastAsia="Calibri" w:hAnsi="Arial" w:cs="Arial"/>
          <w:spacing w:val="-1"/>
          <w:sz w:val="17"/>
          <w:szCs w:val="17"/>
        </w:rPr>
        <w:t xml:space="preserve">ejercicio </w:t>
      </w:r>
      <w:r w:rsidRPr="00B360D9">
        <w:rPr>
          <w:rFonts w:ascii="Arial" w:eastAsia="Calibri" w:hAnsi="Arial" w:cs="Arial"/>
          <w:spacing w:val="-1"/>
          <w:sz w:val="17"/>
          <w:szCs w:val="17"/>
        </w:rPr>
        <w:t>201</w:t>
      </w:r>
      <w:r w:rsidR="0027160A">
        <w:rPr>
          <w:rFonts w:ascii="Arial" w:eastAsia="Calibri" w:hAnsi="Arial" w:cs="Arial"/>
          <w:spacing w:val="-1"/>
          <w:sz w:val="17"/>
          <w:szCs w:val="17"/>
        </w:rPr>
        <w:t>6</w:t>
      </w:r>
      <w:r w:rsidRPr="00B360D9">
        <w:rPr>
          <w:rFonts w:ascii="Arial" w:eastAsia="Calibri" w:hAnsi="Arial" w:cs="Arial"/>
          <w:spacing w:val="-1"/>
          <w:sz w:val="17"/>
          <w:szCs w:val="17"/>
        </w:rPr>
        <w:t xml:space="preserve">, registró un incremento en la recaudación del </w:t>
      </w:r>
      <w:r w:rsidR="00495C2F">
        <w:rPr>
          <w:rFonts w:ascii="Arial" w:eastAsia="Calibri" w:hAnsi="Arial" w:cs="Arial"/>
          <w:spacing w:val="-1"/>
          <w:sz w:val="17"/>
          <w:szCs w:val="17"/>
        </w:rPr>
        <w:t>12</w:t>
      </w:r>
      <w:r>
        <w:rPr>
          <w:rFonts w:ascii="Arial" w:eastAsia="Calibri" w:hAnsi="Arial" w:cs="Arial"/>
          <w:spacing w:val="-1"/>
          <w:sz w:val="17"/>
          <w:szCs w:val="17"/>
        </w:rPr>
        <w:t>.</w:t>
      </w:r>
      <w:r w:rsidR="00495C2F">
        <w:rPr>
          <w:rFonts w:ascii="Arial" w:eastAsia="Calibri" w:hAnsi="Arial" w:cs="Arial"/>
          <w:spacing w:val="-1"/>
          <w:sz w:val="17"/>
          <w:szCs w:val="17"/>
        </w:rPr>
        <w:t>1</w:t>
      </w:r>
      <w:r w:rsidRPr="00B360D9">
        <w:rPr>
          <w:rFonts w:ascii="Arial" w:eastAsia="Calibri" w:hAnsi="Arial" w:cs="Arial"/>
          <w:spacing w:val="-1"/>
          <w:sz w:val="17"/>
          <w:szCs w:val="17"/>
        </w:rPr>
        <w:t xml:space="preserve">% con respecto al </w:t>
      </w:r>
      <w:r w:rsidR="0027160A">
        <w:rPr>
          <w:rFonts w:ascii="Arial" w:eastAsia="Calibri" w:hAnsi="Arial" w:cs="Arial"/>
          <w:spacing w:val="-1"/>
          <w:sz w:val="17"/>
          <w:szCs w:val="17"/>
        </w:rPr>
        <w:t xml:space="preserve">mismo periodo del </w:t>
      </w:r>
      <w:r w:rsidRPr="00B360D9">
        <w:rPr>
          <w:rFonts w:ascii="Arial" w:eastAsia="Calibri" w:hAnsi="Arial" w:cs="Arial"/>
          <w:spacing w:val="-1"/>
          <w:sz w:val="17"/>
          <w:szCs w:val="17"/>
        </w:rPr>
        <w:t>ejercicio anterior</w:t>
      </w:r>
      <w:r>
        <w:rPr>
          <w:rFonts w:ascii="Arial" w:eastAsia="Calibri" w:hAnsi="Arial" w:cs="Arial"/>
          <w:spacing w:val="-1"/>
          <w:sz w:val="17"/>
          <w:szCs w:val="17"/>
        </w:rPr>
        <w:t>. Así mismo</w:t>
      </w:r>
      <w:r w:rsidRPr="00B360D9">
        <w:rPr>
          <w:rFonts w:ascii="Arial" w:eastAsia="Calibri" w:hAnsi="Arial" w:cs="Arial"/>
          <w:spacing w:val="-1"/>
          <w:sz w:val="17"/>
          <w:szCs w:val="17"/>
        </w:rPr>
        <w:t xml:space="preserve">, </w:t>
      </w:r>
      <w:r>
        <w:rPr>
          <w:rFonts w:ascii="Arial" w:eastAsia="Calibri" w:hAnsi="Arial" w:cs="Arial"/>
          <w:spacing w:val="-1"/>
          <w:sz w:val="17"/>
          <w:szCs w:val="17"/>
        </w:rPr>
        <w:t xml:space="preserve">un rubro de gran importancia, </w:t>
      </w:r>
      <w:r w:rsidR="0027160A">
        <w:rPr>
          <w:rFonts w:ascii="Arial" w:eastAsia="Calibri" w:hAnsi="Arial" w:cs="Arial"/>
          <w:spacing w:val="-1"/>
          <w:sz w:val="17"/>
          <w:szCs w:val="17"/>
        </w:rPr>
        <w:t>es</w:t>
      </w:r>
      <w:r>
        <w:rPr>
          <w:rFonts w:ascii="Arial" w:eastAsia="Calibri" w:hAnsi="Arial" w:cs="Arial"/>
          <w:spacing w:val="-1"/>
          <w:sz w:val="17"/>
          <w:szCs w:val="17"/>
        </w:rPr>
        <w:t xml:space="preserve"> el de los derechos</w:t>
      </w:r>
      <w:r w:rsidR="003D73D3">
        <w:rPr>
          <w:rFonts w:ascii="Arial" w:eastAsia="Calibri" w:hAnsi="Arial" w:cs="Arial"/>
          <w:spacing w:val="-1"/>
          <w:sz w:val="17"/>
          <w:szCs w:val="17"/>
        </w:rPr>
        <w:t>,</w:t>
      </w:r>
      <w:r>
        <w:rPr>
          <w:rFonts w:ascii="Arial" w:eastAsia="Calibri" w:hAnsi="Arial" w:cs="Arial"/>
          <w:spacing w:val="-1"/>
          <w:sz w:val="17"/>
          <w:szCs w:val="17"/>
        </w:rPr>
        <w:t xml:space="preserve"> que registró un </w:t>
      </w:r>
      <w:r w:rsidR="00862F78">
        <w:rPr>
          <w:rFonts w:ascii="Arial" w:eastAsia="Calibri" w:hAnsi="Arial" w:cs="Arial"/>
          <w:spacing w:val="-1"/>
          <w:sz w:val="17"/>
          <w:szCs w:val="17"/>
        </w:rPr>
        <w:t>aumento</w:t>
      </w:r>
      <w:r>
        <w:rPr>
          <w:rFonts w:ascii="Arial" w:eastAsia="Calibri" w:hAnsi="Arial" w:cs="Arial"/>
          <w:spacing w:val="-1"/>
          <w:sz w:val="17"/>
          <w:szCs w:val="17"/>
        </w:rPr>
        <w:t xml:space="preserve"> del </w:t>
      </w:r>
      <w:r w:rsidR="0027160A">
        <w:rPr>
          <w:rFonts w:ascii="Arial" w:eastAsia="Calibri" w:hAnsi="Arial" w:cs="Arial"/>
          <w:spacing w:val="-1"/>
          <w:sz w:val="17"/>
          <w:szCs w:val="17"/>
        </w:rPr>
        <w:t>1</w:t>
      </w:r>
      <w:r w:rsidR="004741D4">
        <w:rPr>
          <w:rFonts w:ascii="Arial" w:eastAsia="Calibri" w:hAnsi="Arial" w:cs="Arial"/>
          <w:spacing w:val="-1"/>
          <w:sz w:val="17"/>
          <w:szCs w:val="17"/>
        </w:rPr>
        <w:t>5</w:t>
      </w:r>
      <w:r w:rsidR="0027160A">
        <w:rPr>
          <w:rFonts w:ascii="Arial" w:eastAsia="Calibri" w:hAnsi="Arial" w:cs="Arial"/>
          <w:spacing w:val="-1"/>
          <w:sz w:val="17"/>
          <w:szCs w:val="17"/>
        </w:rPr>
        <w:t>.</w:t>
      </w:r>
      <w:r w:rsidR="004741D4">
        <w:rPr>
          <w:rFonts w:ascii="Arial" w:eastAsia="Calibri" w:hAnsi="Arial" w:cs="Arial"/>
          <w:spacing w:val="-1"/>
          <w:sz w:val="17"/>
          <w:szCs w:val="17"/>
        </w:rPr>
        <w:t>7</w:t>
      </w:r>
      <w:r>
        <w:rPr>
          <w:rFonts w:ascii="Arial" w:eastAsia="Calibri" w:hAnsi="Arial" w:cs="Arial"/>
          <w:spacing w:val="-1"/>
          <w:sz w:val="17"/>
          <w:szCs w:val="17"/>
        </w:rPr>
        <w:t xml:space="preserve">% </w:t>
      </w:r>
      <w:r w:rsidR="00862F78">
        <w:rPr>
          <w:rFonts w:ascii="Arial" w:eastAsia="Calibri" w:hAnsi="Arial" w:cs="Arial"/>
          <w:spacing w:val="-1"/>
          <w:sz w:val="17"/>
          <w:szCs w:val="17"/>
        </w:rPr>
        <w:t xml:space="preserve">en comparación </w:t>
      </w:r>
      <w:r w:rsidR="0027160A" w:rsidRPr="00B360D9">
        <w:rPr>
          <w:rFonts w:ascii="Arial" w:eastAsia="Calibri" w:hAnsi="Arial" w:cs="Arial"/>
          <w:spacing w:val="-1"/>
          <w:sz w:val="17"/>
          <w:szCs w:val="17"/>
        </w:rPr>
        <w:t xml:space="preserve">al ejercicio </w:t>
      </w:r>
      <w:r w:rsidR="00862F78">
        <w:rPr>
          <w:rFonts w:ascii="Arial" w:eastAsia="Calibri" w:hAnsi="Arial" w:cs="Arial"/>
          <w:spacing w:val="-1"/>
          <w:sz w:val="17"/>
          <w:szCs w:val="17"/>
        </w:rPr>
        <w:t>201</w:t>
      </w:r>
      <w:r w:rsidR="0027160A">
        <w:rPr>
          <w:rFonts w:ascii="Arial" w:eastAsia="Calibri" w:hAnsi="Arial" w:cs="Arial"/>
          <w:spacing w:val="-1"/>
          <w:sz w:val="17"/>
          <w:szCs w:val="17"/>
        </w:rPr>
        <w:t>5</w:t>
      </w:r>
      <w:r w:rsidR="00862F78">
        <w:rPr>
          <w:rFonts w:ascii="Arial" w:eastAsia="Calibri" w:hAnsi="Arial" w:cs="Arial"/>
          <w:spacing w:val="-1"/>
          <w:sz w:val="17"/>
          <w:szCs w:val="17"/>
        </w:rPr>
        <w:t>.</w:t>
      </w:r>
    </w:p>
    <w:p w:rsidR="00862F78" w:rsidRDefault="003D73D3" w:rsidP="00B360D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Los ingresos que se esperan recibir en el ejercicio 2017, se detallan de manera puntual </w:t>
      </w:r>
      <w:r w:rsidR="00C46EC3">
        <w:rPr>
          <w:rFonts w:ascii="Arial" w:eastAsia="Calibri" w:hAnsi="Arial" w:cs="Arial"/>
          <w:spacing w:val="-1"/>
          <w:sz w:val="17"/>
          <w:szCs w:val="17"/>
        </w:rPr>
        <w:t xml:space="preserve">en </w:t>
      </w:r>
      <w:r>
        <w:rPr>
          <w:rFonts w:ascii="Arial" w:eastAsia="Calibri" w:hAnsi="Arial" w:cs="Arial"/>
          <w:spacing w:val="-1"/>
          <w:sz w:val="17"/>
          <w:szCs w:val="17"/>
        </w:rPr>
        <w:t>la Ley de Ingresos del Estado de Querétaro para el ejercicio 2017.</w:t>
      </w:r>
    </w:p>
    <w:p w:rsidR="00AB4964" w:rsidRDefault="00AB4964">
      <w:pPr>
        <w:rPr>
          <w:rFonts w:ascii="Arial" w:eastAsia="Calibri" w:hAnsi="Arial" w:cs="Arial"/>
          <w:spacing w:val="-1"/>
          <w:sz w:val="17"/>
          <w:szCs w:val="17"/>
        </w:rPr>
      </w:pPr>
      <w:r>
        <w:rPr>
          <w:rFonts w:ascii="Arial" w:eastAsia="Calibri" w:hAnsi="Arial" w:cs="Arial"/>
          <w:spacing w:val="-1"/>
          <w:sz w:val="17"/>
          <w:szCs w:val="17"/>
        </w:rPr>
        <w:br w:type="page"/>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Información sobre la Deuda y el Reporte Analítico de la Deuda</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2"/>
        <w:gridCol w:w="709"/>
        <w:gridCol w:w="856"/>
        <w:gridCol w:w="1256"/>
        <w:gridCol w:w="1417"/>
        <w:gridCol w:w="1296"/>
        <w:gridCol w:w="708"/>
        <w:gridCol w:w="1134"/>
        <w:gridCol w:w="1134"/>
        <w:gridCol w:w="1418"/>
      </w:tblGrid>
      <w:tr w:rsidR="00A208E2" w:rsidRPr="00A208E2" w:rsidTr="005D109B">
        <w:trPr>
          <w:trHeight w:val="538"/>
          <w:jc w:val="center"/>
        </w:trPr>
        <w:tc>
          <w:tcPr>
            <w:tcW w:w="13320" w:type="dxa"/>
            <w:gridSpan w:val="10"/>
          </w:tcPr>
          <w:p w:rsidR="00A208E2" w:rsidRPr="00A208E2" w:rsidRDefault="00A208E2" w:rsidP="005D109B">
            <w:pPr>
              <w:ind w:left="-57"/>
              <w:jc w:val="center"/>
              <w:rPr>
                <w:rFonts w:ascii="Arial" w:hAnsi="Arial" w:cs="Arial"/>
                <w:sz w:val="17"/>
                <w:szCs w:val="17"/>
              </w:rPr>
            </w:pPr>
            <w:r w:rsidRPr="00A208E2">
              <w:rPr>
                <w:rFonts w:ascii="Arial" w:hAnsi="Arial" w:cs="Arial"/>
                <w:sz w:val="17"/>
                <w:szCs w:val="17"/>
              </w:rPr>
              <w:t>Poder Ejecutivo del Estado de Querétaro</w:t>
            </w:r>
          </w:p>
          <w:p w:rsidR="00A208E2" w:rsidRPr="00A208E2" w:rsidRDefault="00A208E2" w:rsidP="005D109B">
            <w:pPr>
              <w:ind w:left="-57"/>
              <w:jc w:val="center"/>
              <w:rPr>
                <w:rFonts w:ascii="Arial" w:hAnsi="Arial" w:cs="Arial"/>
                <w:sz w:val="17"/>
                <w:szCs w:val="17"/>
              </w:rPr>
            </w:pPr>
            <w:r w:rsidRPr="00A208E2">
              <w:rPr>
                <w:rFonts w:ascii="Arial" w:hAnsi="Arial" w:cs="Arial"/>
                <w:sz w:val="17"/>
                <w:szCs w:val="17"/>
              </w:rPr>
              <w:t>Formato de información de obligaciones pagadas o garantizadas con fondos federales</w:t>
            </w:r>
          </w:p>
          <w:p w:rsidR="00A208E2" w:rsidRPr="00A208E2" w:rsidRDefault="00A208E2" w:rsidP="006F716B">
            <w:pPr>
              <w:ind w:left="-57"/>
              <w:jc w:val="center"/>
              <w:rPr>
                <w:rFonts w:ascii="Arial" w:hAnsi="Arial" w:cs="Arial"/>
                <w:color w:val="000000"/>
                <w:sz w:val="17"/>
                <w:szCs w:val="17"/>
              </w:rPr>
            </w:pPr>
            <w:r w:rsidRPr="00A208E2">
              <w:rPr>
                <w:rFonts w:ascii="Arial" w:hAnsi="Arial" w:cs="Arial"/>
                <w:sz w:val="17"/>
                <w:szCs w:val="17"/>
              </w:rPr>
              <w:t>Al 3</w:t>
            </w:r>
            <w:r w:rsidR="0010568A">
              <w:rPr>
                <w:rFonts w:ascii="Arial" w:hAnsi="Arial" w:cs="Arial"/>
                <w:sz w:val="17"/>
                <w:szCs w:val="17"/>
              </w:rPr>
              <w:t>1</w:t>
            </w:r>
            <w:r w:rsidR="006F716B">
              <w:rPr>
                <w:rFonts w:ascii="Arial" w:hAnsi="Arial" w:cs="Arial"/>
                <w:sz w:val="17"/>
                <w:szCs w:val="17"/>
              </w:rPr>
              <w:t>/</w:t>
            </w:r>
            <w:r w:rsidR="0010568A">
              <w:rPr>
                <w:rFonts w:ascii="Arial" w:hAnsi="Arial" w:cs="Arial"/>
                <w:sz w:val="17"/>
                <w:szCs w:val="17"/>
              </w:rPr>
              <w:t>12</w:t>
            </w:r>
            <w:r w:rsidRPr="00A208E2">
              <w:rPr>
                <w:rFonts w:ascii="Arial" w:hAnsi="Arial" w:cs="Arial"/>
                <w:sz w:val="17"/>
                <w:szCs w:val="17"/>
              </w:rPr>
              <w:t>/201</w:t>
            </w:r>
            <w:r w:rsidR="006F716B">
              <w:rPr>
                <w:rFonts w:ascii="Arial" w:hAnsi="Arial" w:cs="Arial"/>
                <w:sz w:val="17"/>
                <w:szCs w:val="17"/>
              </w:rPr>
              <w:t>6</w:t>
            </w:r>
          </w:p>
        </w:tc>
      </w:tr>
      <w:tr w:rsidR="00A208E2" w:rsidRPr="00A208E2" w:rsidTr="00CB4998">
        <w:trPr>
          <w:trHeight w:val="70"/>
          <w:jc w:val="center"/>
        </w:trPr>
        <w:tc>
          <w:tcPr>
            <w:tcW w:w="3392" w:type="dxa"/>
            <w:vMerge w:val="restart"/>
            <w:vAlign w:val="center"/>
          </w:tcPr>
          <w:p w:rsidR="00A208E2" w:rsidRPr="00A208E2" w:rsidRDefault="00A208E2" w:rsidP="005D109B">
            <w:pPr>
              <w:ind w:left="-57" w:right="-57"/>
              <w:jc w:val="center"/>
              <w:rPr>
                <w:rFonts w:ascii="Arial" w:hAnsi="Arial" w:cs="Arial"/>
                <w:color w:val="000000"/>
                <w:sz w:val="17"/>
                <w:szCs w:val="17"/>
              </w:rPr>
            </w:pPr>
            <w:r w:rsidRPr="00A208E2">
              <w:rPr>
                <w:rFonts w:ascii="Arial" w:hAnsi="Arial" w:cs="Arial"/>
                <w:color w:val="000000"/>
                <w:sz w:val="17"/>
                <w:szCs w:val="17"/>
              </w:rPr>
              <w:t>Tipo de Obligación</w:t>
            </w:r>
          </w:p>
        </w:tc>
        <w:tc>
          <w:tcPr>
            <w:tcW w:w="709" w:type="dxa"/>
            <w:vMerge w:val="restart"/>
            <w:vAlign w:val="center"/>
          </w:tcPr>
          <w:p w:rsidR="00A208E2" w:rsidRPr="00A208E2" w:rsidRDefault="00A208E2" w:rsidP="005D109B">
            <w:pPr>
              <w:ind w:left="-57" w:right="-57"/>
              <w:jc w:val="center"/>
              <w:rPr>
                <w:rFonts w:ascii="Arial" w:hAnsi="Arial" w:cs="Arial"/>
                <w:color w:val="000000"/>
                <w:sz w:val="17"/>
                <w:szCs w:val="17"/>
              </w:rPr>
            </w:pPr>
            <w:r w:rsidRPr="00A208E2">
              <w:rPr>
                <w:rFonts w:ascii="Arial" w:hAnsi="Arial" w:cs="Arial"/>
                <w:color w:val="000000"/>
                <w:sz w:val="17"/>
                <w:szCs w:val="17"/>
              </w:rPr>
              <w:t>Plazo</w:t>
            </w:r>
          </w:p>
        </w:tc>
        <w:tc>
          <w:tcPr>
            <w:tcW w:w="856" w:type="dxa"/>
            <w:vMerge w:val="restart"/>
            <w:vAlign w:val="center"/>
          </w:tcPr>
          <w:p w:rsidR="00A208E2" w:rsidRPr="00A208E2" w:rsidRDefault="00A208E2" w:rsidP="005D109B">
            <w:pPr>
              <w:ind w:left="-57" w:right="-57"/>
              <w:jc w:val="center"/>
              <w:rPr>
                <w:rFonts w:ascii="Arial" w:hAnsi="Arial" w:cs="Arial"/>
                <w:color w:val="000000"/>
                <w:sz w:val="17"/>
                <w:szCs w:val="17"/>
              </w:rPr>
            </w:pPr>
            <w:r w:rsidRPr="00A208E2">
              <w:rPr>
                <w:rFonts w:ascii="Arial" w:hAnsi="Arial" w:cs="Arial"/>
                <w:color w:val="000000"/>
                <w:sz w:val="17"/>
                <w:szCs w:val="17"/>
              </w:rPr>
              <w:t>Tasa</w:t>
            </w:r>
          </w:p>
        </w:tc>
        <w:tc>
          <w:tcPr>
            <w:tcW w:w="1256" w:type="dxa"/>
            <w:vMerge w:val="restart"/>
            <w:vAlign w:val="center"/>
          </w:tcPr>
          <w:p w:rsidR="00A208E2" w:rsidRPr="00A208E2" w:rsidRDefault="00A208E2" w:rsidP="005D109B">
            <w:pPr>
              <w:ind w:left="-57" w:right="-57"/>
              <w:jc w:val="center"/>
              <w:rPr>
                <w:rFonts w:ascii="Arial" w:hAnsi="Arial" w:cs="Arial"/>
                <w:color w:val="000000"/>
                <w:sz w:val="17"/>
                <w:szCs w:val="17"/>
              </w:rPr>
            </w:pPr>
            <w:r w:rsidRPr="00A208E2">
              <w:rPr>
                <w:rFonts w:ascii="Arial" w:hAnsi="Arial" w:cs="Arial"/>
                <w:color w:val="000000"/>
                <w:sz w:val="17"/>
                <w:szCs w:val="17"/>
              </w:rPr>
              <w:t>Fin, Destino y Objeto</w:t>
            </w:r>
          </w:p>
        </w:tc>
        <w:tc>
          <w:tcPr>
            <w:tcW w:w="1417" w:type="dxa"/>
            <w:vMerge w:val="restart"/>
            <w:vAlign w:val="center"/>
          </w:tcPr>
          <w:p w:rsidR="00A208E2" w:rsidRPr="00A208E2" w:rsidRDefault="00A208E2" w:rsidP="005D109B">
            <w:pPr>
              <w:ind w:left="-57" w:right="-57"/>
              <w:jc w:val="center"/>
              <w:rPr>
                <w:rFonts w:ascii="Arial" w:hAnsi="Arial" w:cs="Arial"/>
                <w:color w:val="000000"/>
                <w:sz w:val="17"/>
                <w:szCs w:val="17"/>
              </w:rPr>
            </w:pPr>
            <w:r w:rsidRPr="00A208E2">
              <w:rPr>
                <w:rFonts w:ascii="Arial" w:hAnsi="Arial" w:cs="Arial"/>
                <w:color w:val="000000"/>
                <w:sz w:val="17"/>
                <w:szCs w:val="17"/>
              </w:rPr>
              <w:t>Acreedor, Proveedor o Contratista</w:t>
            </w:r>
          </w:p>
        </w:tc>
        <w:tc>
          <w:tcPr>
            <w:tcW w:w="1296" w:type="dxa"/>
            <w:vMerge w:val="restart"/>
            <w:vAlign w:val="center"/>
          </w:tcPr>
          <w:p w:rsidR="00A208E2" w:rsidRPr="00A208E2" w:rsidRDefault="00A208E2" w:rsidP="005D109B">
            <w:pPr>
              <w:ind w:left="-57" w:right="-57"/>
              <w:jc w:val="center"/>
              <w:rPr>
                <w:rFonts w:ascii="Arial" w:hAnsi="Arial" w:cs="Arial"/>
                <w:color w:val="000000"/>
                <w:sz w:val="17"/>
                <w:szCs w:val="17"/>
              </w:rPr>
            </w:pPr>
            <w:r w:rsidRPr="00A208E2">
              <w:rPr>
                <w:rFonts w:ascii="Arial" w:hAnsi="Arial" w:cs="Arial"/>
                <w:color w:val="000000"/>
                <w:sz w:val="17"/>
                <w:szCs w:val="17"/>
              </w:rPr>
              <w:t>Importe Total</w:t>
            </w:r>
          </w:p>
        </w:tc>
        <w:tc>
          <w:tcPr>
            <w:tcW w:w="708" w:type="dxa"/>
          </w:tcPr>
          <w:p w:rsidR="00A208E2" w:rsidRPr="00A208E2" w:rsidRDefault="00A208E2" w:rsidP="005D109B">
            <w:pPr>
              <w:ind w:left="-57" w:right="-57"/>
              <w:jc w:val="center"/>
              <w:rPr>
                <w:rFonts w:ascii="Arial" w:hAnsi="Arial" w:cs="Arial"/>
                <w:color w:val="000000"/>
                <w:sz w:val="17"/>
                <w:szCs w:val="17"/>
              </w:rPr>
            </w:pPr>
          </w:p>
        </w:tc>
        <w:tc>
          <w:tcPr>
            <w:tcW w:w="1134" w:type="dxa"/>
          </w:tcPr>
          <w:p w:rsidR="00A208E2" w:rsidRPr="00A208E2" w:rsidRDefault="00A208E2" w:rsidP="005D109B">
            <w:pPr>
              <w:ind w:left="-57" w:right="-57"/>
              <w:jc w:val="center"/>
              <w:rPr>
                <w:rFonts w:ascii="Arial" w:hAnsi="Arial" w:cs="Arial"/>
                <w:color w:val="000000"/>
                <w:sz w:val="17"/>
                <w:szCs w:val="17"/>
              </w:rPr>
            </w:pPr>
          </w:p>
        </w:tc>
        <w:tc>
          <w:tcPr>
            <w:tcW w:w="2552" w:type="dxa"/>
            <w:gridSpan w:val="2"/>
            <w:vAlign w:val="center"/>
          </w:tcPr>
          <w:p w:rsidR="00A208E2" w:rsidRPr="00A208E2" w:rsidRDefault="00A208E2" w:rsidP="005D109B">
            <w:pPr>
              <w:ind w:left="-57" w:right="-57"/>
              <w:jc w:val="center"/>
              <w:rPr>
                <w:rFonts w:ascii="Arial" w:hAnsi="Arial" w:cs="Arial"/>
                <w:color w:val="000000"/>
                <w:sz w:val="17"/>
                <w:szCs w:val="17"/>
              </w:rPr>
            </w:pPr>
            <w:r w:rsidRPr="00A208E2">
              <w:rPr>
                <w:rFonts w:ascii="Arial" w:hAnsi="Arial" w:cs="Arial"/>
                <w:color w:val="000000"/>
                <w:sz w:val="17"/>
                <w:szCs w:val="17"/>
              </w:rPr>
              <w:t xml:space="preserve">Importe y porcentaje del total que se paga y garantiza con el recurso de dichos fondos </w:t>
            </w:r>
          </w:p>
        </w:tc>
      </w:tr>
      <w:tr w:rsidR="00A208E2" w:rsidRPr="00A208E2" w:rsidTr="00CB4998">
        <w:trPr>
          <w:trHeight w:val="300"/>
          <w:jc w:val="center"/>
        </w:trPr>
        <w:tc>
          <w:tcPr>
            <w:tcW w:w="3392" w:type="dxa"/>
            <w:vMerge/>
            <w:vAlign w:val="center"/>
          </w:tcPr>
          <w:p w:rsidR="00A208E2" w:rsidRPr="00A208E2" w:rsidRDefault="00A208E2" w:rsidP="005D109B">
            <w:pPr>
              <w:ind w:left="-57"/>
              <w:jc w:val="center"/>
              <w:rPr>
                <w:rFonts w:ascii="Arial" w:hAnsi="Arial" w:cs="Arial"/>
                <w:color w:val="000000"/>
                <w:sz w:val="17"/>
                <w:szCs w:val="17"/>
              </w:rPr>
            </w:pPr>
          </w:p>
        </w:tc>
        <w:tc>
          <w:tcPr>
            <w:tcW w:w="709" w:type="dxa"/>
            <w:vMerge/>
          </w:tcPr>
          <w:p w:rsidR="00A208E2" w:rsidRPr="00A208E2" w:rsidRDefault="00A208E2" w:rsidP="005D109B">
            <w:pPr>
              <w:ind w:left="-57"/>
              <w:jc w:val="center"/>
              <w:rPr>
                <w:rFonts w:ascii="Arial" w:hAnsi="Arial" w:cs="Arial"/>
                <w:color w:val="000000"/>
                <w:sz w:val="17"/>
                <w:szCs w:val="17"/>
              </w:rPr>
            </w:pPr>
          </w:p>
        </w:tc>
        <w:tc>
          <w:tcPr>
            <w:tcW w:w="856" w:type="dxa"/>
            <w:vMerge/>
          </w:tcPr>
          <w:p w:rsidR="00A208E2" w:rsidRPr="00A208E2" w:rsidRDefault="00A208E2" w:rsidP="005D109B">
            <w:pPr>
              <w:ind w:left="-57"/>
              <w:jc w:val="center"/>
              <w:rPr>
                <w:rFonts w:ascii="Arial" w:hAnsi="Arial" w:cs="Arial"/>
                <w:color w:val="000000"/>
                <w:sz w:val="17"/>
                <w:szCs w:val="17"/>
              </w:rPr>
            </w:pPr>
          </w:p>
        </w:tc>
        <w:tc>
          <w:tcPr>
            <w:tcW w:w="1256" w:type="dxa"/>
            <w:vMerge/>
          </w:tcPr>
          <w:p w:rsidR="00A208E2" w:rsidRPr="00A208E2" w:rsidRDefault="00A208E2" w:rsidP="005D109B">
            <w:pPr>
              <w:ind w:left="-57"/>
              <w:jc w:val="center"/>
              <w:rPr>
                <w:rFonts w:ascii="Arial" w:hAnsi="Arial" w:cs="Arial"/>
                <w:color w:val="000000"/>
                <w:sz w:val="17"/>
                <w:szCs w:val="17"/>
              </w:rPr>
            </w:pPr>
          </w:p>
        </w:tc>
        <w:tc>
          <w:tcPr>
            <w:tcW w:w="1417" w:type="dxa"/>
            <w:vMerge/>
          </w:tcPr>
          <w:p w:rsidR="00A208E2" w:rsidRPr="00A208E2" w:rsidRDefault="00A208E2" w:rsidP="005D109B">
            <w:pPr>
              <w:ind w:left="-57"/>
              <w:jc w:val="center"/>
              <w:rPr>
                <w:rFonts w:ascii="Arial" w:hAnsi="Arial" w:cs="Arial"/>
                <w:color w:val="000000"/>
                <w:sz w:val="17"/>
                <w:szCs w:val="17"/>
              </w:rPr>
            </w:pPr>
          </w:p>
        </w:tc>
        <w:tc>
          <w:tcPr>
            <w:tcW w:w="1296" w:type="dxa"/>
            <w:vMerge/>
            <w:vAlign w:val="center"/>
          </w:tcPr>
          <w:p w:rsidR="00A208E2" w:rsidRPr="00A208E2" w:rsidRDefault="00A208E2" w:rsidP="005D109B">
            <w:pPr>
              <w:ind w:left="-57"/>
              <w:jc w:val="center"/>
              <w:rPr>
                <w:rFonts w:ascii="Arial" w:hAnsi="Arial" w:cs="Arial"/>
                <w:color w:val="000000"/>
                <w:sz w:val="17"/>
                <w:szCs w:val="17"/>
              </w:rPr>
            </w:pPr>
          </w:p>
        </w:tc>
        <w:tc>
          <w:tcPr>
            <w:tcW w:w="708" w:type="dxa"/>
          </w:tcPr>
          <w:p w:rsidR="00A208E2" w:rsidRPr="00A208E2" w:rsidRDefault="00A208E2" w:rsidP="005D109B">
            <w:pPr>
              <w:ind w:left="-57"/>
              <w:jc w:val="center"/>
              <w:rPr>
                <w:rFonts w:ascii="Arial" w:hAnsi="Arial" w:cs="Arial"/>
                <w:color w:val="000000"/>
                <w:sz w:val="17"/>
                <w:szCs w:val="17"/>
              </w:rPr>
            </w:pPr>
            <w:r w:rsidRPr="00A208E2">
              <w:rPr>
                <w:rFonts w:ascii="Arial" w:hAnsi="Arial" w:cs="Arial"/>
                <w:color w:val="000000"/>
                <w:sz w:val="17"/>
                <w:szCs w:val="17"/>
              </w:rPr>
              <w:t>Fondo</w:t>
            </w:r>
          </w:p>
        </w:tc>
        <w:tc>
          <w:tcPr>
            <w:tcW w:w="1134" w:type="dxa"/>
          </w:tcPr>
          <w:p w:rsidR="00A208E2" w:rsidRPr="00A208E2" w:rsidRDefault="00A208E2" w:rsidP="005D109B">
            <w:pPr>
              <w:ind w:left="-57"/>
              <w:jc w:val="center"/>
              <w:rPr>
                <w:rFonts w:ascii="Arial" w:hAnsi="Arial" w:cs="Arial"/>
                <w:color w:val="000000"/>
                <w:sz w:val="17"/>
                <w:szCs w:val="17"/>
              </w:rPr>
            </w:pPr>
            <w:r w:rsidRPr="00A208E2">
              <w:rPr>
                <w:rFonts w:ascii="Arial" w:hAnsi="Arial" w:cs="Arial"/>
                <w:color w:val="000000"/>
                <w:sz w:val="17"/>
                <w:szCs w:val="17"/>
              </w:rPr>
              <w:t xml:space="preserve">Importe Garantizado </w:t>
            </w:r>
          </w:p>
        </w:tc>
        <w:tc>
          <w:tcPr>
            <w:tcW w:w="1134" w:type="dxa"/>
          </w:tcPr>
          <w:p w:rsidR="00A208E2" w:rsidRPr="00A208E2" w:rsidRDefault="00A208E2" w:rsidP="005D109B">
            <w:pPr>
              <w:ind w:left="-57"/>
              <w:jc w:val="center"/>
              <w:rPr>
                <w:rFonts w:ascii="Arial" w:hAnsi="Arial" w:cs="Arial"/>
                <w:color w:val="000000"/>
                <w:sz w:val="17"/>
                <w:szCs w:val="17"/>
              </w:rPr>
            </w:pPr>
            <w:r w:rsidRPr="00A208E2">
              <w:rPr>
                <w:rFonts w:ascii="Arial" w:hAnsi="Arial" w:cs="Arial"/>
                <w:color w:val="000000"/>
                <w:sz w:val="17"/>
                <w:szCs w:val="17"/>
              </w:rPr>
              <w:t>Importe Pagado</w:t>
            </w:r>
          </w:p>
        </w:tc>
        <w:tc>
          <w:tcPr>
            <w:tcW w:w="1418" w:type="dxa"/>
          </w:tcPr>
          <w:p w:rsidR="00A208E2" w:rsidRPr="00A208E2" w:rsidRDefault="00A208E2" w:rsidP="005D109B">
            <w:pPr>
              <w:ind w:left="-57"/>
              <w:jc w:val="center"/>
              <w:rPr>
                <w:rFonts w:ascii="Arial" w:hAnsi="Arial" w:cs="Arial"/>
                <w:color w:val="000000"/>
                <w:sz w:val="17"/>
                <w:szCs w:val="17"/>
              </w:rPr>
            </w:pPr>
            <w:r w:rsidRPr="00A208E2">
              <w:rPr>
                <w:rFonts w:ascii="Arial" w:hAnsi="Arial" w:cs="Arial"/>
                <w:color w:val="000000"/>
                <w:sz w:val="17"/>
                <w:szCs w:val="17"/>
              </w:rPr>
              <w:t xml:space="preserve">% respecto al total </w:t>
            </w:r>
          </w:p>
        </w:tc>
      </w:tr>
      <w:tr w:rsidR="00A208E2" w:rsidRPr="00A208E2" w:rsidTr="00CB4998">
        <w:trPr>
          <w:trHeight w:val="300"/>
          <w:jc w:val="center"/>
        </w:trPr>
        <w:tc>
          <w:tcPr>
            <w:tcW w:w="3392" w:type="dxa"/>
            <w:vAlign w:val="center"/>
          </w:tcPr>
          <w:p w:rsidR="00A208E2" w:rsidRPr="00A208E2" w:rsidRDefault="00A208E2" w:rsidP="00A208E2">
            <w:pPr>
              <w:ind w:left="-57"/>
              <w:jc w:val="center"/>
              <w:rPr>
                <w:rFonts w:ascii="Arial" w:hAnsi="Arial" w:cs="Arial"/>
                <w:color w:val="000000"/>
                <w:sz w:val="17"/>
                <w:szCs w:val="17"/>
              </w:rPr>
            </w:pPr>
            <w:r w:rsidRPr="00A208E2">
              <w:rPr>
                <w:rFonts w:ascii="Arial" w:hAnsi="Arial" w:cs="Arial"/>
                <w:color w:val="000000"/>
                <w:sz w:val="17"/>
                <w:szCs w:val="17"/>
              </w:rPr>
              <w:t>SUSTITUCIÓN DE CRÉDITO</w:t>
            </w:r>
          </w:p>
        </w:tc>
        <w:tc>
          <w:tcPr>
            <w:tcW w:w="709" w:type="dxa"/>
            <w:vAlign w:val="center"/>
          </w:tcPr>
          <w:p w:rsidR="00A208E2" w:rsidRPr="00A208E2" w:rsidRDefault="00A208E2" w:rsidP="00A208E2">
            <w:pPr>
              <w:ind w:left="-57"/>
              <w:jc w:val="center"/>
              <w:rPr>
                <w:rFonts w:ascii="Arial" w:hAnsi="Arial" w:cs="Arial"/>
                <w:color w:val="000000"/>
                <w:sz w:val="17"/>
                <w:szCs w:val="17"/>
              </w:rPr>
            </w:pPr>
            <w:r w:rsidRPr="00A208E2">
              <w:rPr>
                <w:rFonts w:ascii="Arial" w:hAnsi="Arial" w:cs="Arial"/>
                <w:color w:val="000000"/>
                <w:sz w:val="17"/>
                <w:szCs w:val="17"/>
              </w:rPr>
              <w:t>20 AÑOS</w:t>
            </w:r>
          </w:p>
        </w:tc>
        <w:tc>
          <w:tcPr>
            <w:tcW w:w="856" w:type="dxa"/>
            <w:vAlign w:val="center"/>
          </w:tcPr>
          <w:p w:rsidR="00A208E2" w:rsidRPr="00A208E2" w:rsidRDefault="00A208E2" w:rsidP="00A208E2">
            <w:pPr>
              <w:ind w:left="-57"/>
              <w:jc w:val="center"/>
              <w:rPr>
                <w:rFonts w:ascii="Arial" w:hAnsi="Arial" w:cs="Arial"/>
                <w:color w:val="000000"/>
                <w:sz w:val="17"/>
                <w:szCs w:val="17"/>
              </w:rPr>
            </w:pPr>
            <w:r w:rsidRPr="00A208E2">
              <w:rPr>
                <w:rFonts w:ascii="Arial" w:hAnsi="Arial" w:cs="Arial"/>
                <w:color w:val="000000"/>
                <w:sz w:val="17"/>
                <w:szCs w:val="17"/>
              </w:rPr>
              <w:t>TIIE +.45</w:t>
            </w:r>
          </w:p>
        </w:tc>
        <w:tc>
          <w:tcPr>
            <w:tcW w:w="1256" w:type="dxa"/>
            <w:vAlign w:val="center"/>
          </w:tcPr>
          <w:p w:rsidR="00A208E2" w:rsidRPr="00A208E2" w:rsidRDefault="00A208E2" w:rsidP="00A208E2">
            <w:pPr>
              <w:ind w:left="-57"/>
              <w:jc w:val="center"/>
              <w:rPr>
                <w:rFonts w:ascii="Arial" w:hAnsi="Arial" w:cs="Arial"/>
                <w:color w:val="000000"/>
                <w:sz w:val="17"/>
                <w:szCs w:val="17"/>
              </w:rPr>
            </w:pPr>
            <w:r w:rsidRPr="00A208E2">
              <w:rPr>
                <w:rFonts w:ascii="Arial" w:hAnsi="Arial" w:cs="Arial"/>
                <w:color w:val="000000"/>
                <w:sz w:val="17"/>
                <w:szCs w:val="17"/>
              </w:rPr>
              <w:t>OBRA PÚBLICA PRODUCTIVA</w:t>
            </w:r>
          </w:p>
        </w:tc>
        <w:tc>
          <w:tcPr>
            <w:tcW w:w="1417" w:type="dxa"/>
            <w:vAlign w:val="center"/>
          </w:tcPr>
          <w:p w:rsidR="00A208E2" w:rsidRPr="00A208E2" w:rsidRDefault="00A208E2" w:rsidP="00A208E2">
            <w:pPr>
              <w:ind w:left="-57"/>
              <w:jc w:val="center"/>
              <w:rPr>
                <w:rFonts w:ascii="Arial" w:hAnsi="Arial" w:cs="Arial"/>
                <w:color w:val="000000"/>
                <w:sz w:val="17"/>
                <w:szCs w:val="17"/>
              </w:rPr>
            </w:pPr>
            <w:r w:rsidRPr="00A208E2">
              <w:rPr>
                <w:rFonts w:ascii="Arial" w:hAnsi="Arial" w:cs="Arial"/>
                <w:color w:val="000000"/>
                <w:sz w:val="17"/>
                <w:szCs w:val="17"/>
              </w:rPr>
              <w:t>BBVA BANCOMER</w:t>
            </w:r>
          </w:p>
        </w:tc>
        <w:tc>
          <w:tcPr>
            <w:tcW w:w="1296" w:type="dxa"/>
            <w:vAlign w:val="center"/>
          </w:tcPr>
          <w:p w:rsidR="00A208E2" w:rsidRPr="00A208E2" w:rsidRDefault="00A208E2" w:rsidP="006F716B">
            <w:pPr>
              <w:ind w:left="-57"/>
              <w:jc w:val="center"/>
              <w:rPr>
                <w:rFonts w:ascii="Arial" w:hAnsi="Arial" w:cs="Arial"/>
                <w:color w:val="000000"/>
                <w:sz w:val="17"/>
                <w:szCs w:val="17"/>
              </w:rPr>
            </w:pPr>
            <w:r w:rsidRPr="00A208E2">
              <w:rPr>
                <w:rFonts w:ascii="Arial" w:hAnsi="Arial" w:cs="Arial"/>
                <w:color w:val="000000"/>
                <w:sz w:val="17"/>
                <w:szCs w:val="17"/>
              </w:rPr>
              <w:t>1,</w:t>
            </w:r>
            <w:r w:rsidR="006F716B">
              <w:rPr>
                <w:rFonts w:ascii="Arial" w:hAnsi="Arial" w:cs="Arial"/>
                <w:color w:val="000000"/>
                <w:sz w:val="17"/>
                <w:szCs w:val="17"/>
              </w:rPr>
              <w:t>0</w:t>
            </w:r>
            <w:r w:rsidR="00653A8A">
              <w:rPr>
                <w:rFonts w:ascii="Arial" w:hAnsi="Arial" w:cs="Arial"/>
                <w:color w:val="000000"/>
                <w:sz w:val="17"/>
                <w:szCs w:val="17"/>
              </w:rPr>
              <w:t>49</w:t>
            </w:r>
            <w:r w:rsidRPr="00A208E2">
              <w:rPr>
                <w:rFonts w:ascii="Arial" w:hAnsi="Arial" w:cs="Arial"/>
                <w:color w:val="000000"/>
                <w:sz w:val="17"/>
                <w:szCs w:val="17"/>
              </w:rPr>
              <w:t>,</w:t>
            </w:r>
            <w:r w:rsidR="00653A8A">
              <w:rPr>
                <w:rFonts w:ascii="Arial" w:hAnsi="Arial" w:cs="Arial"/>
                <w:color w:val="000000"/>
                <w:sz w:val="17"/>
                <w:szCs w:val="17"/>
              </w:rPr>
              <w:t>295</w:t>
            </w:r>
            <w:r w:rsidRPr="00A208E2">
              <w:rPr>
                <w:rFonts w:ascii="Arial" w:hAnsi="Arial" w:cs="Arial"/>
                <w:color w:val="000000"/>
                <w:sz w:val="17"/>
                <w:szCs w:val="17"/>
              </w:rPr>
              <w:t>,</w:t>
            </w:r>
            <w:r w:rsidR="00653A8A">
              <w:rPr>
                <w:rFonts w:ascii="Arial" w:hAnsi="Arial" w:cs="Arial"/>
                <w:color w:val="000000"/>
                <w:sz w:val="17"/>
                <w:szCs w:val="17"/>
              </w:rPr>
              <w:t>003</w:t>
            </w:r>
          </w:p>
        </w:tc>
        <w:tc>
          <w:tcPr>
            <w:tcW w:w="708" w:type="dxa"/>
            <w:vAlign w:val="center"/>
          </w:tcPr>
          <w:p w:rsidR="00A208E2" w:rsidRPr="00A208E2" w:rsidRDefault="00D01776" w:rsidP="00A208E2">
            <w:pPr>
              <w:ind w:left="-57"/>
              <w:jc w:val="center"/>
              <w:rPr>
                <w:rFonts w:ascii="Arial" w:hAnsi="Arial" w:cs="Arial"/>
                <w:color w:val="000000"/>
                <w:sz w:val="17"/>
                <w:szCs w:val="17"/>
              </w:rPr>
            </w:pPr>
            <w:r>
              <w:rPr>
                <w:rFonts w:ascii="Arial" w:hAnsi="Arial" w:cs="Arial"/>
                <w:color w:val="000000"/>
                <w:sz w:val="17"/>
                <w:szCs w:val="17"/>
              </w:rPr>
              <w:t>F</w:t>
            </w:r>
            <w:r w:rsidR="00A208E2" w:rsidRPr="00A208E2">
              <w:rPr>
                <w:rFonts w:ascii="Arial" w:hAnsi="Arial" w:cs="Arial"/>
                <w:color w:val="000000"/>
                <w:sz w:val="17"/>
                <w:szCs w:val="17"/>
              </w:rPr>
              <w:t>AFEF</w:t>
            </w:r>
          </w:p>
        </w:tc>
        <w:tc>
          <w:tcPr>
            <w:tcW w:w="1134" w:type="dxa"/>
            <w:vAlign w:val="center"/>
          </w:tcPr>
          <w:p w:rsidR="00A208E2" w:rsidRPr="00A208E2" w:rsidRDefault="00A208E2" w:rsidP="006F716B">
            <w:pPr>
              <w:ind w:left="-57"/>
              <w:jc w:val="center"/>
              <w:rPr>
                <w:rFonts w:ascii="Arial" w:hAnsi="Arial" w:cs="Arial"/>
                <w:color w:val="000000"/>
                <w:sz w:val="17"/>
                <w:szCs w:val="17"/>
              </w:rPr>
            </w:pPr>
            <w:r w:rsidRPr="00A208E2">
              <w:rPr>
                <w:rFonts w:ascii="Arial" w:hAnsi="Arial" w:cs="Arial"/>
                <w:color w:val="000000"/>
                <w:sz w:val="17"/>
                <w:szCs w:val="17"/>
              </w:rPr>
              <w:t>1</w:t>
            </w:r>
            <w:r w:rsidR="006F716B">
              <w:rPr>
                <w:rFonts w:ascii="Arial" w:hAnsi="Arial" w:cs="Arial"/>
                <w:color w:val="000000"/>
                <w:sz w:val="17"/>
                <w:szCs w:val="17"/>
              </w:rPr>
              <w:t>10</w:t>
            </w:r>
            <w:r w:rsidRPr="00A208E2">
              <w:rPr>
                <w:rFonts w:ascii="Arial" w:hAnsi="Arial" w:cs="Arial"/>
                <w:color w:val="000000"/>
                <w:sz w:val="17"/>
                <w:szCs w:val="17"/>
              </w:rPr>
              <w:t>,</w:t>
            </w:r>
            <w:r w:rsidR="006F716B">
              <w:rPr>
                <w:rFonts w:ascii="Arial" w:hAnsi="Arial" w:cs="Arial"/>
                <w:color w:val="000000"/>
                <w:sz w:val="17"/>
                <w:szCs w:val="17"/>
              </w:rPr>
              <w:t>410</w:t>
            </w:r>
            <w:r w:rsidRPr="00A208E2">
              <w:rPr>
                <w:rFonts w:ascii="Arial" w:hAnsi="Arial" w:cs="Arial"/>
                <w:color w:val="000000"/>
                <w:sz w:val="17"/>
                <w:szCs w:val="17"/>
              </w:rPr>
              <w:t>,</w:t>
            </w:r>
            <w:r w:rsidR="006F716B">
              <w:rPr>
                <w:rFonts w:ascii="Arial" w:hAnsi="Arial" w:cs="Arial"/>
                <w:color w:val="000000"/>
                <w:sz w:val="17"/>
                <w:szCs w:val="17"/>
              </w:rPr>
              <w:t>176</w:t>
            </w:r>
          </w:p>
        </w:tc>
        <w:tc>
          <w:tcPr>
            <w:tcW w:w="1134" w:type="dxa"/>
            <w:vAlign w:val="center"/>
          </w:tcPr>
          <w:p w:rsidR="00A208E2" w:rsidRPr="00A208E2" w:rsidRDefault="00AF49B0" w:rsidP="006F716B">
            <w:pPr>
              <w:ind w:left="-57"/>
              <w:jc w:val="center"/>
              <w:rPr>
                <w:rFonts w:ascii="Arial" w:hAnsi="Arial" w:cs="Arial"/>
                <w:color w:val="000000"/>
                <w:sz w:val="17"/>
                <w:szCs w:val="17"/>
              </w:rPr>
            </w:pPr>
            <w:r>
              <w:rPr>
                <w:rFonts w:ascii="Arial" w:hAnsi="Arial" w:cs="Arial"/>
                <w:color w:val="000000"/>
                <w:sz w:val="17"/>
                <w:szCs w:val="17"/>
              </w:rPr>
              <w:t>110</w:t>
            </w:r>
            <w:r w:rsidR="00CB4998">
              <w:rPr>
                <w:rFonts w:ascii="Arial" w:hAnsi="Arial" w:cs="Arial"/>
                <w:color w:val="000000"/>
                <w:sz w:val="17"/>
                <w:szCs w:val="17"/>
              </w:rPr>
              <w:t>,</w:t>
            </w:r>
            <w:r w:rsidR="006F716B">
              <w:rPr>
                <w:rFonts w:ascii="Arial" w:hAnsi="Arial" w:cs="Arial"/>
                <w:color w:val="000000"/>
                <w:sz w:val="17"/>
                <w:szCs w:val="17"/>
              </w:rPr>
              <w:t>4</w:t>
            </w:r>
            <w:r>
              <w:rPr>
                <w:rFonts w:ascii="Arial" w:hAnsi="Arial" w:cs="Arial"/>
                <w:color w:val="000000"/>
                <w:sz w:val="17"/>
                <w:szCs w:val="17"/>
              </w:rPr>
              <w:t>10</w:t>
            </w:r>
            <w:r w:rsidR="00CB4998" w:rsidRPr="00CB4998">
              <w:rPr>
                <w:rFonts w:ascii="Arial" w:hAnsi="Arial" w:cs="Arial"/>
                <w:color w:val="000000"/>
                <w:sz w:val="17"/>
                <w:szCs w:val="17"/>
              </w:rPr>
              <w:t>,</w:t>
            </w:r>
            <w:r>
              <w:rPr>
                <w:rFonts w:ascii="Arial" w:hAnsi="Arial" w:cs="Arial"/>
                <w:color w:val="000000"/>
                <w:sz w:val="17"/>
                <w:szCs w:val="17"/>
              </w:rPr>
              <w:t>142</w:t>
            </w:r>
          </w:p>
        </w:tc>
        <w:tc>
          <w:tcPr>
            <w:tcW w:w="1418" w:type="dxa"/>
            <w:vAlign w:val="center"/>
          </w:tcPr>
          <w:p w:rsidR="00A208E2" w:rsidRPr="00A208E2" w:rsidRDefault="00AF49B0" w:rsidP="006F716B">
            <w:pPr>
              <w:ind w:left="-57"/>
              <w:jc w:val="center"/>
              <w:rPr>
                <w:rFonts w:ascii="Arial" w:hAnsi="Arial" w:cs="Arial"/>
                <w:color w:val="000000"/>
                <w:sz w:val="17"/>
                <w:szCs w:val="17"/>
              </w:rPr>
            </w:pPr>
            <w:r>
              <w:rPr>
                <w:rFonts w:ascii="Arial" w:hAnsi="Arial" w:cs="Arial"/>
                <w:color w:val="000000"/>
                <w:sz w:val="17"/>
                <w:szCs w:val="17"/>
              </w:rPr>
              <w:t>10</w:t>
            </w:r>
            <w:r w:rsidR="00CB4998">
              <w:rPr>
                <w:rFonts w:ascii="Arial" w:hAnsi="Arial" w:cs="Arial"/>
                <w:color w:val="000000"/>
                <w:sz w:val="17"/>
                <w:szCs w:val="17"/>
              </w:rPr>
              <w:t>.</w:t>
            </w:r>
            <w:r>
              <w:rPr>
                <w:rFonts w:ascii="Arial" w:hAnsi="Arial" w:cs="Arial"/>
                <w:color w:val="000000"/>
                <w:sz w:val="17"/>
                <w:szCs w:val="17"/>
              </w:rPr>
              <w:t>52</w:t>
            </w:r>
            <w:r w:rsidR="00A208E2" w:rsidRPr="00A208E2">
              <w:rPr>
                <w:rFonts w:ascii="Arial" w:hAnsi="Arial" w:cs="Arial"/>
                <w:color w:val="000000"/>
                <w:sz w:val="17"/>
                <w:szCs w:val="17"/>
              </w:rPr>
              <w:t>%</w:t>
            </w:r>
          </w:p>
        </w:tc>
      </w:tr>
    </w:tbl>
    <w:p w:rsidR="0010523D" w:rsidRDefault="0010523D" w:rsidP="00A67440">
      <w:pPr>
        <w:spacing w:before="120" w:after="120" w:line="240" w:lineRule="exact"/>
        <w:jc w:val="both"/>
        <w:rPr>
          <w:rFonts w:ascii="Arial" w:eastAsia="Calibri" w:hAnsi="Arial" w:cs="Arial"/>
          <w:spacing w:val="-1"/>
          <w:sz w:val="17"/>
          <w:szCs w:val="17"/>
        </w:rPr>
      </w:pPr>
    </w:p>
    <w:p w:rsidR="00CB4998" w:rsidRPr="00AB4964" w:rsidRDefault="00CB4998" w:rsidP="001B59FD">
      <w:pPr>
        <w:pStyle w:val="Prrafodelista"/>
        <w:numPr>
          <w:ilvl w:val="0"/>
          <w:numId w:val="45"/>
        </w:numPr>
        <w:autoSpaceDE w:val="0"/>
        <w:autoSpaceDN w:val="0"/>
        <w:adjustRightInd w:val="0"/>
        <w:spacing w:before="120" w:after="120" w:line="240" w:lineRule="exact"/>
        <w:ind w:left="357" w:right="-851" w:hanging="357"/>
        <w:jc w:val="both"/>
        <w:rPr>
          <w:rFonts w:ascii="Arial" w:eastAsia="Calibri" w:hAnsi="Arial" w:cs="Arial"/>
          <w:spacing w:val="-1"/>
          <w:sz w:val="17"/>
          <w:szCs w:val="17"/>
        </w:rPr>
      </w:pPr>
      <w:r w:rsidRPr="00AB4964">
        <w:rPr>
          <w:rFonts w:ascii="Arial" w:hAnsi="Arial" w:cs="Arial"/>
          <w:sz w:val="17"/>
          <w:szCs w:val="17"/>
        </w:rPr>
        <w:t>La reducción del saldo de su deuda pública bruta total con motivo de cada una de las amortizaciones a que se refiere este artículo, con relación al registrado al 31 de diciembre del ejercicio fiscal anterior.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304"/>
      </w:tblGrid>
      <w:tr w:rsidR="00CB4998" w:rsidRPr="00CB4998" w:rsidTr="00030DD4">
        <w:trPr>
          <w:jc w:val="center"/>
        </w:trPr>
        <w:tc>
          <w:tcPr>
            <w:tcW w:w="0" w:type="auto"/>
          </w:tcPr>
          <w:p w:rsidR="00CB4998" w:rsidRPr="00CB4998" w:rsidRDefault="00CB4998" w:rsidP="005D109B">
            <w:pPr>
              <w:autoSpaceDE w:val="0"/>
              <w:autoSpaceDN w:val="0"/>
              <w:adjustRightInd w:val="0"/>
              <w:rPr>
                <w:rFonts w:ascii="Arial" w:hAnsi="Arial" w:cs="Arial"/>
                <w:b/>
                <w:sz w:val="17"/>
                <w:szCs w:val="17"/>
              </w:rPr>
            </w:pPr>
          </w:p>
        </w:tc>
        <w:tc>
          <w:tcPr>
            <w:tcW w:w="0" w:type="auto"/>
          </w:tcPr>
          <w:p w:rsidR="00CB4998" w:rsidRPr="00CB4998" w:rsidRDefault="00CB4998" w:rsidP="005D109B">
            <w:pPr>
              <w:autoSpaceDE w:val="0"/>
              <w:autoSpaceDN w:val="0"/>
              <w:adjustRightInd w:val="0"/>
              <w:jc w:val="center"/>
              <w:rPr>
                <w:rFonts w:ascii="Arial" w:hAnsi="Arial" w:cs="Arial"/>
                <w:b/>
                <w:sz w:val="17"/>
                <w:szCs w:val="17"/>
                <w:lang w:val="es-ES"/>
              </w:rPr>
            </w:pPr>
            <w:r w:rsidRPr="00CB4998">
              <w:rPr>
                <w:rFonts w:ascii="Arial" w:hAnsi="Arial" w:cs="Arial"/>
                <w:b/>
                <w:sz w:val="17"/>
                <w:szCs w:val="17"/>
                <w:lang w:val="es-ES"/>
              </w:rPr>
              <w:t>Importe</w:t>
            </w:r>
          </w:p>
        </w:tc>
      </w:tr>
      <w:tr w:rsidR="00CB4998" w:rsidRPr="00CB4998" w:rsidTr="00030DD4">
        <w:trPr>
          <w:jc w:val="center"/>
        </w:trPr>
        <w:tc>
          <w:tcPr>
            <w:tcW w:w="0" w:type="auto"/>
          </w:tcPr>
          <w:p w:rsidR="00CB4998" w:rsidRPr="00CB4998" w:rsidRDefault="00CB4998" w:rsidP="006F716B">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Total al 3</w:t>
            </w:r>
            <w:r w:rsidR="006F716B">
              <w:rPr>
                <w:rFonts w:ascii="Arial" w:hAnsi="Arial" w:cs="Arial"/>
                <w:sz w:val="17"/>
                <w:szCs w:val="17"/>
                <w:lang w:val="es-ES"/>
              </w:rPr>
              <w:t>1</w:t>
            </w:r>
            <w:r w:rsidRPr="00CB4998">
              <w:rPr>
                <w:rFonts w:ascii="Arial" w:hAnsi="Arial" w:cs="Arial"/>
                <w:sz w:val="17"/>
                <w:szCs w:val="17"/>
                <w:lang w:val="es-ES"/>
              </w:rPr>
              <w:t xml:space="preserve"> de </w:t>
            </w:r>
            <w:r w:rsidR="00AF49B0">
              <w:rPr>
                <w:rFonts w:ascii="Arial" w:hAnsi="Arial" w:cs="Arial"/>
                <w:sz w:val="17"/>
                <w:szCs w:val="17"/>
                <w:lang w:val="es-ES"/>
              </w:rPr>
              <w:t>diciembre</w:t>
            </w:r>
            <w:r w:rsidRPr="00CB4998">
              <w:rPr>
                <w:rFonts w:ascii="Arial" w:hAnsi="Arial" w:cs="Arial"/>
                <w:sz w:val="17"/>
                <w:szCs w:val="17"/>
                <w:lang w:val="es-ES"/>
              </w:rPr>
              <w:t xml:space="preserve"> del 201</w:t>
            </w:r>
            <w:r w:rsidR="00AF49B0">
              <w:rPr>
                <w:rFonts w:ascii="Arial" w:hAnsi="Arial" w:cs="Arial"/>
                <w:sz w:val="17"/>
                <w:szCs w:val="17"/>
                <w:lang w:val="es-ES"/>
              </w:rPr>
              <w:t>5</w:t>
            </w:r>
          </w:p>
        </w:tc>
        <w:tc>
          <w:tcPr>
            <w:tcW w:w="0" w:type="auto"/>
          </w:tcPr>
          <w:p w:rsidR="00CB4998" w:rsidRPr="00CB4998" w:rsidRDefault="00CB4998"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1,</w:t>
            </w:r>
            <w:r w:rsidR="00AF49B0">
              <w:rPr>
                <w:rFonts w:ascii="Arial" w:hAnsi="Arial" w:cs="Arial"/>
                <w:sz w:val="17"/>
                <w:szCs w:val="17"/>
                <w:lang w:val="es-ES"/>
              </w:rPr>
              <w:t>106</w:t>
            </w:r>
            <w:r w:rsidRPr="00CB4998">
              <w:rPr>
                <w:rFonts w:ascii="Arial" w:hAnsi="Arial" w:cs="Arial"/>
                <w:sz w:val="17"/>
                <w:szCs w:val="17"/>
                <w:lang w:val="es-ES"/>
              </w:rPr>
              <w:t>,</w:t>
            </w:r>
            <w:r w:rsidR="00AF49B0">
              <w:rPr>
                <w:rFonts w:ascii="Arial" w:hAnsi="Arial" w:cs="Arial"/>
                <w:sz w:val="17"/>
                <w:szCs w:val="17"/>
                <w:lang w:val="es-ES"/>
              </w:rPr>
              <w:t>651</w:t>
            </w:r>
            <w:r w:rsidRPr="00CB4998">
              <w:rPr>
                <w:rFonts w:ascii="Arial" w:hAnsi="Arial" w:cs="Arial"/>
                <w:sz w:val="17"/>
                <w:szCs w:val="17"/>
                <w:lang w:val="es-ES"/>
              </w:rPr>
              <w:t>,</w:t>
            </w:r>
            <w:r w:rsidR="00AF49B0">
              <w:rPr>
                <w:rFonts w:ascii="Arial" w:hAnsi="Arial" w:cs="Arial"/>
                <w:sz w:val="17"/>
                <w:szCs w:val="17"/>
                <w:lang w:val="es-ES"/>
              </w:rPr>
              <w:t>468</w:t>
            </w:r>
          </w:p>
        </w:tc>
      </w:tr>
      <w:tr w:rsidR="00CB4998" w:rsidRPr="00CB4998" w:rsidTr="00030DD4">
        <w:trPr>
          <w:jc w:val="center"/>
        </w:trPr>
        <w:tc>
          <w:tcPr>
            <w:tcW w:w="0" w:type="auto"/>
          </w:tcPr>
          <w:p w:rsidR="00CB4998" w:rsidRPr="00CB4998" w:rsidRDefault="00CB4998" w:rsidP="00CB4998">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sidR="006B5715">
              <w:rPr>
                <w:rFonts w:ascii="Arial" w:hAnsi="Arial" w:cs="Arial"/>
                <w:sz w:val="17"/>
                <w:szCs w:val="17"/>
                <w:lang w:val="es-ES"/>
              </w:rPr>
              <w:t xml:space="preserve"> </w:t>
            </w:r>
            <w:r w:rsidR="006F716B">
              <w:rPr>
                <w:rFonts w:ascii="Arial" w:hAnsi="Arial" w:cs="Arial"/>
                <w:sz w:val="17"/>
                <w:szCs w:val="17"/>
                <w:lang w:val="es-ES"/>
              </w:rPr>
              <w:t xml:space="preserve">Amortización </w:t>
            </w:r>
            <w:r w:rsidR="00AF49B0">
              <w:rPr>
                <w:rFonts w:ascii="Arial" w:hAnsi="Arial" w:cs="Arial"/>
                <w:sz w:val="17"/>
                <w:szCs w:val="17"/>
                <w:lang w:val="es-ES"/>
              </w:rPr>
              <w:t>1</w:t>
            </w:r>
          </w:p>
        </w:tc>
        <w:tc>
          <w:tcPr>
            <w:tcW w:w="0" w:type="auto"/>
          </w:tcPr>
          <w:p w:rsidR="00CB4998" w:rsidRPr="00CB4998" w:rsidRDefault="00CB4998" w:rsidP="006F716B">
            <w:pPr>
              <w:autoSpaceDE w:val="0"/>
              <w:autoSpaceDN w:val="0"/>
              <w:adjustRightInd w:val="0"/>
              <w:jc w:val="right"/>
              <w:rPr>
                <w:rFonts w:ascii="Arial" w:hAnsi="Arial" w:cs="Arial"/>
                <w:sz w:val="17"/>
                <w:szCs w:val="17"/>
                <w:lang w:val="es-ES"/>
              </w:rPr>
            </w:pPr>
            <w:r w:rsidRPr="00CB4998">
              <w:rPr>
                <w:rFonts w:ascii="Arial" w:hAnsi="Arial" w:cs="Arial"/>
                <w:sz w:val="17"/>
                <w:szCs w:val="17"/>
                <w:lang w:val="es-ES"/>
              </w:rPr>
              <w:t>3,</w:t>
            </w:r>
            <w:r w:rsidR="00AF49B0">
              <w:rPr>
                <w:rFonts w:ascii="Arial" w:hAnsi="Arial" w:cs="Arial"/>
                <w:sz w:val="17"/>
                <w:szCs w:val="17"/>
                <w:lang w:val="es-ES"/>
              </w:rPr>
              <w:t>147</w:t>
            </w:r>
            <w:r w:rsidRPr="00CB4998">
              <w:rPr>
                <w:rFonts w:ascii="Arial" w:hAnsi="Arial" w:cs="Arial"/>
                <w:sz w:val="17"/>
                <w:szCs w:val="17"/>
                <w:lang w:val="es-ES"/>
              </w:rPr>
              <w:t>,</w:t>
            </w:r>
            <w:r w:rsidR="00AF49B0">
              <w:rPr>
                <w:rFonts w:ascii="Arial" w:hAnsi="Arial" w:cs="Arial"/>
                <w:sz w:val="17"/>
                <w:szCs w:val="17"/>
                <w:lang w:val="es-ES"/>
              </w:rPr>
              <w:t>375</w:t>
            </w:r>
          </w:p>
        </w:tc>
      </w:tr>
      <w:tr w:rsidR="00CB4998" w:rsidRPr="00CB4998" w:rsidTr="00030DD4">
        <w:trPr>
          <w:jc w:val="center"/>
        </w:trPr>
        <w:tc>
          <w:tcPr>
            <w:tcW w:w="0" w:type="auto"/>
          </w:tcPr>
          <w:p w:rsidR="00CB4998" w:rsidRPr="00CB4998" w:rsidRDefault="00CB4998" w:rsidP="00CB4998">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sidR="006F716B">
              <w:rPr>
                <w:rFonts w:ascii="Arial" w:hAnsi="Arial" w:cs="Arial"/>
                <w:sz w:val="17"/>
                <w:szCs w:val="17"/>
                <w:lang w:val="es-ES"/>
              </w:rPr>
              <w:t xml:space="preserve">l descontando la amortización </w:t>
            </w:r>
            <w:r w:rsidR="00AF49B0">
              <w:rPr>
                <w:rFonts w:ascii="Arial" w:hAnsi="Arial" w:cs="Arial"/>
                <w:sz w:val="17"/>
                <w:szCs w:val="17"/>
                <w:lang w:val="es-ES"/>
              </w:rPr>
              <w:t>1</w:t>
            </w:r>
          </w:p>
        </w:tc>
        <w:tc>
          <w:tcPr>
            <w:tcW w:w="0" w:type="auto"/>
          </w:tcPr>
          <w:p w:rsidR="00CB4998" w:rsidRPr="00CB4998" w:rsidRDefault="00CB4998"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1,</w:t>
            </w:r>
            <w:r w:rsidR="00AF49B0">
              <w:rPr>
                <w:rFonts w:ascii="Arial" w:hAnsi="Arial" w:cs="Arial"/>
                <w:sz w:val="17"/>
                <w:szCs w:val="17"/>
                <w:lang w:val="es-ES"/>
              </w:rPr>
              <w:t>103</w:t>
            </w:r>
            <w:r w:rsidRPr="00CB4998">
              <w:rPr>
                <w:rFonts w:ascii="Arial" w:hAnsi="Arial" w:cs="Arial"/>
                <w:sz w:val="17"/>
                <w:szCs w:val="17"/>
                <w:lang w:val="es-ES"/>
              </w:rPr>
              <w:t>,</w:t>
            </w:r>
            <w:r w:rsidR="00AF49B0">
              <w:rPr>
                <w:rFonts w:ascii="Arial" w:hAnsi="Arial" w:cs="Arial"/>
                <w:sz w:val="17"/>
                <w:szCs w:val="17"/>
                <w:lang w:val="es-ES"/>
              </w:rPr>
              <w:t>504</w:t>
            </w:r>
            <w:r w:rsidRPr="00CB4998">
              <w:rPr>
                <w:rFonts w:ascii="Arial" w:hAnsi="Arial" w:cs="Arial"/>
                <w:sz w:val="17"/>
                <w:szCs w:val="17"/>
                <w:lang w:val="es-ES"/>
              </w:rPr>
              <w:t>,</w:t>
            </w:r>
            <w:r w:rsidR="00AF49B0">
              <w:rPr>
                <w:rFonts w:ascii="Arial" w:hAnsi="Arial" w:cs="Arial"/>
                <w:sz w:val="17"/>
                <w:szCs w:val="17"/>
                <w:lang w:val="es-ES"/>
              </w:rPr>
              <w:t>093</w:t>
            </w:r>
          </w:p>
        </w:tc>
      </w:tr>
      <w:tr w:rsidR="00CB4998" w:rsidRPr="00CB4998" w:rsidTr="00030DD4">
        <w:trPr>
          <w:jc w:val="center"/>
        </w:trPr>
        <w:tc>
          <w:tcPr>
            <w:tcW w:w="0" w:type="auto"/>
          </w:tcPr>
          <w:p w:rsidR="00CB4998" w:rsidRPr="00CB4998" w:rsidRDefault="00CB4998" w:rsidP="00CB4998">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sidR="006B5715">
              <w:rPr>
                <w:rFonts w:ascii="Arial" w:hAnsi="Arial" w:cs="Arial"/>
                <w:sz w:val="17"/>
                <w:szCs w:val="17"/>
                <w:lang w:val="es-ES"/>
              </w:rPr>
              <w:t xml:space="preserve"> </w:t>
            </w:r>
            <w:r w:rsidR="006F716B">
              <w:rPr>
                <w:rFonts w:ascii="Arial" w:hAnsi="Arial" w:cs="Arial"/>
                <w:sz w:val="17"/>
                <w:szCs w:val="17"/>
                <w:lang w:val="es-ES"/>
              </w:rPr>
              <w:t xml:space="preserve">Amortización </w:t>
            </w:r>
            <w:r w:rsidR="00AF49B0">
              <w:rPr>
                <w:rFonts w:ascii="Arial" w:hAnsi="Arial" w:cs="Arial"/>
                <w:sz w:val="17"/>
                <w:szCs w:val="17"/>
                <w:lang w:val="es-ES"/>
              </w:rPr>
              <w:t>2</w:t>
            </w:r>
          </w:p>
        </w:tc>
        <w:tc>
          <w:tcPr>
            <w:tcW w:w="0" w:type="auto"/>
          </w:tcPr>
          <w:p w:rsidR="00CB4998" w:rsidRPr="00CB4998" w:rsidRDefault="00CB4998" w:rsidP="006F716B">
            <w:pPr>
              <w:autoSpaceDE w:val="0"/>
              <w:autoSpaceDN w:val="0"/>
              <w:adjustRightInd w:val="0"/>
              <w:jc w:val="right"/>
              <w:rPr>
                <w:rFonts w:ascii="Arial" w:hAnsi="Arial" w:cs="Arial"/>
                <w:sz w:val="17"/>
                <w:szCs w:val="17"/>
                <w:lang w:val="es-ES"/>
              </w:rPr>
            </w:pPr>
            <w:r w:rsidRPr="00CB4998">
              <w:rPr>
                <w:rFonts w:ascii="Arial" w:hAnsi="Arial" w:cs="Arial"/>
                <w:sz w:val="17"/>
                <w:szCs w:val="17"/>
                <w:lang w:val="es-ES"/>
              </w:rPr>
              <w:t>3</w:t>
            </w:r>
            <w:r>
              <w:rPr>
                <w:rFonts w:ascii="Arial" w:hAnsi="Arial" w:cs="Arial"/>
                <w:sz w:val="17"/>
                <w:szCs w:val="17"/>
                <w:lang w:val="es-ES"/>
              </w:rPr>
              <w:t>,</w:t>
            </w:r>
            <w:r w:rsidR="00AF49B0">
              <w:rPr>
                <w:rFonts w:ascii="Arial" w:hAnsi="Arial" w:cs="Arial"/>
                <w:sz w:val="17"/>
                <w:szCs w:val="17"/>
                <w:lang w:val="es-ES"/>
              </w:rPr>
              <w:t>191</w:t>
            </w:r>
            <w:r w:rsidRPr="00CB4998">
              <w:rPr>
                <w:rFonts w:ascii="Arial" w:hAnsi="Arial" w:cs="Arial"/>
                <w:sz w:val="17"/>
                <w:szCs w:val="17"/>
                <w:lang w:val="es-ES"/>
              </w:rPr>
              <w:t>,</w:t>
            </w:r>
            <w:r w:rsidR="00AF49B0">
              <w:rPr>
                <w:rFonts w:ascii="Arial" w:hAnsi="Arial" w:cs="Arial"/>
                <w:sz w:val="17"/>
                <w:szCs w:val="17"/>
                <w:lang w:val="es-ES"/>
              </w:rPr>
              <w:t>439</w:t>
            </w:r>
          </w:p>
        </w:tc>
      </w:tr>
      <w:tr w:rsidR="00CB4998" w:rsidRPr="00CB4998" w:rsidTr="00030DD4">
        <w:trPr>
          <w:jc w:val="center"/>
        </w:trPr>
        <w:tc>
          <w:tcPr>
            <w:tcW w:w="0" w:type="auto"/>
          </w:tcPr>
          <w:p w:rsidR="00CB4998" w:rsidRPr="00CB4998" w:rsidRDefault="00CB4998" w:rsidP="00CB4998">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sidR="006F716B">
              <w:rPr>
                <w:rFonts w:ascii="Arial" w:hAnsi="Arial" w:cs="Arial"/>
                <w:sz w:val="17"/>
                <w:szCs w:val="17"/>
                <w:lang w:val="es-ES"/>
              </w:rPr>
              <w:t xml:space="preserve">l descontando la amortización </w:t>
            </w:r>
            <w:r w:rsidR="00AF49B0">
              <w:rPr>
                <w:rFonts w:ascii="Arial" w:hAnsi="Arial" w:cs="Arial"/>
                <w:sz w:val="17"/>
                <w:szCs w:val="17"/>
                <w:lang w:val="es-ES"/>
              </w:rPr>
              <w:t>2</w:t>
            </w:r>
          </w:p>
        </w:tc>
        <w:tc>
          <w:tcPr>
            <w:tcW w:w="0" w:type="auto"/>
          </w:tcPr>
          <w:p w:rsidR="00CB4998" w:rsidRPr="00CB4998" w:rsidRDefault="00CB4998"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1,</w:t>
            </w:r>
            <w:r w:rsidR="00AF49B0">
              <w:rPr>
                <w:rFonts w:ascii="Arial" w:hAnsi="Arial" w:cs="Arial"/>
                <w:sz w:val="17"/>
                <w:szCs w:val="17"/>
                <w:lang w:val="es-ES"/>
              </w:rPr>
              <w:t>100</w:t>
            </w:r>
            <w:r w:rsidRPr="00CB4998">
              <w:rPr>
                <w:rFonts w:ascii="Arial" w:hAnsi="Arial" w:cs="Arial"/>
                <w:sz w:val="17"/>
                <w:szCs w:val="17"/>
                <w:lang w:val="es-ES"/>
              </w:rPr>
              <w:t>,</w:t>
            </w:r>
            <w:r w:rsidR="00AF49B0">
              <w:rPr>
                <w:rFonts w:ascii="Arial" w:hAnsi="Arial" w:cs="Arial"/>
                <w:sz w:val="17"/>
                <w:szCs w:val="17"/>
                <w:lang w:val="es-ES"/>
              </w:rPr>
              <w:t>312</w:t>
            </w:r>
            <w:r w:rsidRPr="00CB4998">
              <w:rPr>
                <w:rFonts w:ascii="Arial" w:hAnsi="Arial" w:cs="Arial"/>
                <w:sz w:val="17"/>
                <w:szCs w:val="17"/>
                <w:lang w:val="es-ES"/>
              </w:rPr>
              <w:t>,</w:t>
            </w:r>
            <w:r w:rsidR="00AF49B0">
              <w:rPr>
                <w:rFonts w:ascii="Arial" w:hAnsi="Arial" w:cs="Arial"/>
                <w:sz w:val="17"/>
                <w:szCs w:val="17"/>
                <w:lang w:val="es-ES"/>
              </w:rPr>
              <w:t>654</w:t>
            </w:r>
          </w:p>
        </w:tc>
      </w:tr>
      <w:tr w:rsidR="00CB4998" w:rsidRPr="00CB4998" w:rsidTr="00030DD4">
        <w:trPr>
          <w:jc w:val="center"/>
        </w:trPr>
        <w:tc>
          <w:tcPr>
            <w:tcW w:w="0" w:type="auto"/>
          </w:tcPr>
          <w:p w:rsidR="00CB4998" w:rsidRPr="00CB4998" w:rsidRDefault="00CB4998" w:rsidP="00CB4998">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sidR="006B5715">
              <w:rPr>
                <w:rFonts w:ascii="Arial" w:hAnsi="Arial" w:cs="Arial"/>
                <w:sz w:val="17"/>
                <w:szCs w:val="17"/>
                <w:lang w:val="es-ES"/>
              </w:rPr>
              <w:t xml:space="preserve"> </w:t>
            </w:r>
            <w:r w:rsidR="006F716B">
              <w:rPr>
                <w:rFonts w:ascii="Arial" w:hAnsi="Arial" w:cs="Arial"/>
                <w:sz w:val="17"/>
                <w:szCs w:val="17"/>
                <w:lang w:val="es-ES"/>
              </w:rPr>
              <w:t xml:space="preserve">Amortización </w:t>
            </w:r>
            <w:r w:rsidR="00AF49B0">
              <w:rPr>
                <w:rFonts w:ascii="Arial" w:hAnsi="Arial" w:cs="Arial"/>
                <w:sz w:val="17"/>
                <w:szCs w:val="17"/>
                <w:lang w:val="es-ES"/>
              </w:rPr>
              <w:t>3</w:t>
            </w:r>
          </w:p>
        </w:tc>
        <w:tc>
          <w:tcPr>
            <w:tcW w:w="0" w:type="auto"/>
          </w:tcPr>
          <w:p w:rsidR="00CB4998" w:rsidRPr="00CB4998" w:rsidRDefault="00CB4998" w:rsidP="006F716B">
            <w:pPr>
              <w:autoSpaceDE w:val="0"/>
              <w:autoSpaceDN w:val="0"/>
              <w:adjustRightInd w:val="0"/>
              <w:jc w:val="right"/>
              <w:rPr>
                <w:rFonts w:ascii="Arial" w:hAnsi="Arial" w:cs="Arial"/>
                <w:sz w:val="17"/>
                <w:szCs w:val="17"/>
                <w:lang w:val="es-ES"/>
              </w:rPr>
            </w:pPr>
            <w:r w:rsidRPr="00CB4998">
              <w:rPr>
                <w:rFonts w:ascii="Arial" w:hAnsi="Arial" w:cs="Arial"/>
                <w:sz w:val="17"/>
                <w:szCs w:val="17"/>
                <w:lang w:val="es-ES"/>
              </w:rPr>
              <w:t>3</w:t>
            </w:r>
            <w:r>
              <w:rPr>
                <w:rFonts w:ascii="Arial" w:hAnsi="Arial" w:cs="Arial"/>
                <w:sz w:val="17"/>
                <w:szCs w:val="17"/>
                <w:lang w:val="es-ES"/>
              </w:rPr>
              <w:t>,</w:t>
            </w:r>
            <w:r w:rsidR="00AF49B0">
              <w:rPr>
                <w:rFonts w:ascii="Arial" w:hAnsi="Arial" w:cs="Arial"/>
                <w:sz w:val="17"/>
                <w:szCs w:val="17"/>
                <w:lang w:val="es-ES"/>
              </w:rPr>
              <w:t>236</w:t>
            </w:r>
            <w:r w:rsidRPr="00CB4998">
              <w:rPr>
                <w:rFonts w:ascii="Arial" w:hAnsi="Arial" w:cs="Arial"/>
                <w:sz w:val="17"/>
                <w:szCs w:val="17"/>
                <w:lang w:val="es-ES"/>
              </w:rPr>
              <w:t>,</w:t>
            </w:r>
            <w:r w:rsidR="00AF49B0">
              <w:rPr>
                <w:rFonts w:ascii="Arial" w:hAnsi="Arial" w:cs="Arial"/>
                <w:sz w:val="17"/>
                <w:szCs w:val="17"/>
                <w:lang w:val="es-ES"/>
              </w:rPr>
              <w:t>119</w:t>
            </w:r>
          </w:p>
        </w:tc>
      </w:tr>
      <w:tr w:rsidR="00CB4998" w:rsidRPr="00CB4998" w:rsidTr="00030DD4">
        <w:trPr>
          <w:jc w:val="center"/>
        </w:trPr>
        <w:tc>
          <w:tcPr>
            <w:tcW w:w="0" w:type="auto"/>
          </w:tcPr>
          <w:p w:rsidR="00CB4998" w:rsidRPr="00CB4998" w:rsidRDefault="00CB4998" w:rsidP="00CB4998">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sidR="006F716B">
              <w:rPr>
                <w:rFonts w:ascii="Arial" w:hAnsi="Arial" w:cs="Arial"/>
                <w:sz w:val="17"/>
                <w:szCs w:val="17"/>
                <w:lang w:val="es-ES"/>
              </w:rPr>
              <w:t xml:space="preserve">l descontando la amortización </w:t>
            </w:r>
            <w:r w:rsidR="00AF49B0">
              <w:rPr>
                <w:rFonts w:ascii="Arial" w:hAnsi="Arial" w:cs="Arial"/>
                <w:sz w:val="17"/>
                <w:szCs w:val="17"/>
                <w:lang w:val="es-ES"/>
              </w:rPr>
              <w:t>3</w:t>
            </w:r>
          </w:p>
        </w:tc>
        <w:tc>
          <w:tcPr>
            <w:tcW w:w="0" w:type="auto"/>
          </w:tcPr>
          <w:p w:rsidR="00CB4998" w:rsidRPr="00CB4998" w:rsidRDefault="00CB4998"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1,</w:t>
            </w:r>
            <w:r w:rsidR="006F716B">
              <w:rPr>
                <w:rFonts w:ascii="Arial" w:hAnsi="Arial" w:cs="Arial"/>
                <w:sz w:val="17"/>
                <w:szCs w:val="17"/>
                <w:lang w:val="es-ES"/>
              </w:rPr>
              <w:t>0</w:t>
            </w:r>
            <w:r w:rsidR="00AF49B0">
              <w:rPr>
                <w:rFonts w:ascii="Arial" w:hAnsi="Arial" w:cs="Arial"/>
                <w:sz w:val="17"/>
                <w:szCs w:val="17"/>
                <w:lang w:val="es-ES"/>
              </w:rPr>
              <w:t>9</w:t>
            </w:r>
            <w:r w:rsidR="006F716B">
              <w:rPr>
                <w:rFonts w:ascii="Arial" w:hAnsi="Arial" w:cs="Arial"/>
                <w:sz w:val="17"/>
                <w:szCs w:val="17"/>
                <w:lang w:val="es-ES"/>
              </w:rPr>
              <w:t>7</w:t>
            </w:r>
            <w:r w:rsidRPr="00CB4998">
              <w:rPr>
                <w:rFonts w:ascii="Arial" w:hAnsi="Arial" w:cs="Arial"/>
                <w:sz w:val="17"/>
                <w:szCs w:val="17"/>
                <w:lang w:val="es-ES"/>
              </w:rPr>
              <w:t>,</w:t>
            </w:r>
            <w:r w:rsidR="006F716B">
              <w:rPr>
                <w:rFonts w:ascii="Arial" w:hAnsi="Arial" w:cs="Arial"/>
                <w:sz w:val="17"/>
                <w:szCs w:val="17"/>
                <w:lang w:val="es-ES"/>
              </w:rPr>
              <w:t>0</w:t>
            </w:r>
            <w:r w:rsidR="00AF49B0">
              <w:rPr>
                <w:rFonts w:ascii="Arial" w:hAnsi="Arial" w:cs="Arial"/>
                <w:sz w:val="17"/>
                <w:szCs w:val="17"/>
                <w:lang w:val="es-ES"/>
              </w:rPr>
              <w:t>76</w:t>
            </w:r>
            <w:r w:rsidRPr="00CB4998">
              <w:rPr>
                <w:rFonts w:ascii="Arial" w:hAnsi="Arial" w:cs="Arial"/>
                <w:sz w:val="17"/>
                <w:szCs w:val="17"/>
                <w:lang w:val="es-ES"/>
              </w:rPr>
              <w:t>,</w:t>
            </w:r>
            <w:r w:rsidR="00AF49B0">
              <w:rPr>
                <w:rFonts w:ascii="Arial" w:hAnsi="Arial" w:cs="Arial"/>
                <w:sz w:val="17"/>
                <w:szCs w:val="17"/>
                <w:lang w:val="es-ES"/>
              </w:rPr>
              <w:t>535</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4</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3,281,424</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4</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1,093,795,111</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5</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3,327,364</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5</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1,090,467,747</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6</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3,373,947</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6</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1,087,093,800</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7</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3,421,183</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7</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1,083,672,617</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8</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3,469,079</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8</w:t>
            </w:r>
          </w:p>
        </w:tc>
        <w:tc>
          <w:tcPr>
            <w:tcW w:w="0" w:type="auto"/>
          </w:tcPr>
          <w:p w:rsidR="00AF49B0" w:rsidRDefault="00AF49B0" w:rsidP="00AF49B0">
            <w:pPr>
              <w:tabs>
                <w:tab w:val="left" w:pos="1348"/>
              </w:tabs>
              <w:autoSpaceDE w:val="0"/>
              <w:autoSpaceDN w:val="0"/>
              <w:adjustRightInd w:val="0"/>
              <w:jc w:val="right"/>
              <w:rPr>
                <w:rFonts w:ascii="Arial" w:hAnsi="Arial" w:cs="Arial"/>
                <w:sz w:val="17"/>
                <w:szCs w:val="17"/>
                <w:lang w:val="es-ES"/>
              </w:rPr>
            </w:pPr>
            <w:r>
              <w:rPr>
                <w:rFonts w:ascii="Arial" w:hAnsi="Arial" w:cs="Arial"/>
                <w:sz w:val="17"/>
                <w:szCs w:val="17"/>
                <w:lang w:val="es-ES"/>
              </w:rPr>
              <w:t>1,080,203,538</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9</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3,517,646</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9</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1,076,685,892</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10</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3,566,893</w:t>
            </w:r>
          </w:p>
        </w:tc>
      </w:tr>
      <w:tr w:rsidR="00AF49B0" w:rsidRPr="00CB4998" w:rsidTr="00030DD4">
        <w:trPr>
          <w:trHeight w:val="174"/>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10</w:t>
            </w:r>
          </w:p>
        </w:tc>
        <w:tc>
          <w:tcPr>
            <w:tcW w:w="0" w:type="auto"/>
          </w:tcPr>
          <w:p w:rsidR="00AF49B0" w:rsidRDefault="00AF49B0"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1,073,118,999</w:t>
            </w:r>
          </w:p>
        </w:tc>
      </w:tr>
      <w:tr w:rsidR="00AF49B0" w:rsidRPr="00CB4998" w:rsidTr="00030DD4">
        <w:trPr>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11</w:t>
            </w:r>
          </w:p>
        </w:tc>
        <w:tc>
          <w:tcPr>
            <w:tcW w:w="0" w:type="auto"/>
          </w:tcPr>
          <w:p w:rsidR="00AF49B0" w:rsidRDefault="00A35DFF"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3,616,830</w:t>
            </w:r>
          </w:p>
        </w:tc>
      </w:tr>
      <w:tr w:rsidR="00AF49B0" w:rsidRPr="00CB4998" w:rsidTr="00030DD4">
        <w:trPr>
          <w:trHeight w:val="281"/>
          <w:jc w:val="center"/>
        </w:trPr>
        <w:tc>
          <w:tcPr>
            <w:tcW w:w="0" w:type="auto"/>
          </w:tcPr>
          <w:p w:rsidR="00AF49B0" w:rsidRPr="00CB4998" w:rsidRDefault="00AF49B0" w:rsidP="00AF49B0">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11</w:t>
            </w:r>
          </w:p>
        </w:tc>
        <w:tc>
          <w:tcPr>
            <w:tcW w:w="0" w:type="auto"/>
          </w:tcPr>
          <w:p w:rsidR="00AF49B0" w:rsidRDefault="00A35DFF" w:rsidP="00AF49B0">
            <w:pPr>
              <w:autoSpaceDE w:val="0"/>
              <w:autoSpaceDN w:val="0"/>
              <w:adjustRightInd w:val="0"/>
              <w:jc w:val="right"/>
              <w:rPr>
                <w:rFonts w:ascii="Arial" w:hAnsi="Arial" w:cs="Arial"/>
                <w:sz w:val="17"/>
                <w:szCs w:val="17"/>
                <w:lang w:val="es-ES"/>
              </w:rPr>
            </w:pPr>
            <w:r>
              <w:rPr>
                <w:rFonts w:ascii="Arial" w:hAnsi="Arial" w:cs="Arial"/>
                <w:sz w:val="17"/>
                <w:szCs w:val="17"/>
                <w:lang w:val="es-ES"/>
              </w:rPr>
              <w:t>1,069,502,169</w:t>
            </w:r>
          </w:p>
        </w:tc>
      </w:tr>
      <w:tr w:rsidR="00A35DFF" w:rsidRPr="00CB4998" w:rsidTr="00030DD4">
        <w:trPr>
          <w:jc w:val="center"/>
        </w:trPr>
        <w:tc>
          <w:tcPr>
            <w:tcW w:w="0" w:type="auto"/>
          </w:tcPr>
          <w:p w:rsidR="00A35DFF" w:rsidRPr="00CB4998" w:rsidRDefault="00A35DFF" w:rsidP="00A35DFF">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w:t>
            </w:r>
            <w:r>
              <w:rPr>
                <w:rFonts w:ascii="Arial" w:hAnsi="Arial" w:cs="Arial"/>
                <w:sz w:val="17"/>
                <w:szCs w:val="17"/>
                <w:lang w:val="es-ES"/>
              </w:rPr>
              <w:t xml:space="preserve"> Amortización 12</w:t>
            </w:r>
          </w:p>
        </w:tc>
        <w:tc>
          <w:tcPr>
            <w:tcW w:w="0" w:type="auto"/>
          </w:tcPr>
          <w:p w:rsidR="00A35DFF" w:rsidRDefault="00A35DFF" w:rsidP="00A35DFF">
            <w:pPr>
              <w:autoSpaceDE w:val="0"/>
              <w:autoSpaceDN w:val="0"/>
              <w:adjustRightInd w:val="0"/>
              <w:jc w:val="right"/>
              <w:rPr>
                <w:rFonts w:ascii="Arial" w:hAnsi="Arial" w:cs="Arial"/>
                <w:sz w:val="17"/>
                <w:szCs w:val="17"/>
                <w:lang w:val="es-ES"/>
              </w:rPr>
            </w:pPr>
            <w:r>
              <w:rPr>
                <w:rFonts w:ascii="Arial" w:hAnsi="Arial" w:cs="Arial"/>
                <w:sz w:val="17"/>
                <w:szCs w:val="17"/>
                <w:lang w:val="es-ES"/>
              </w:rPr>
              <w:t>20,207,166</w:t>
            </w:r>
          </w:p>
        </w:tc>
      </w:tr>
      <w:tr w:rsidR="00A35DFF" w:rsidRPr="00CB4998" w:rsidTr="00030DD4">
        <w:trPr>
          <w:trHeight w:val="268"/>
          <w:jc w:val="center"/>
        </w:trPr>
        <w:tc>
          <w:tcPr>
            <w:tcW w:w="0" w:type="auto"/>
          </w:tcPr>
          <w:p w:rsidR="00A35DFF" w:rsidRPr="00CB4998" w:rsidRDefault="00A35DFF" w:rsidP="00A35DFF">
            <w:pPr>
              <w:autoSpaceDE w:val="0"/>
              <w:autoSpaceDN w:val="0"/>
              <w:adjustRightInd w:val="0"/>
              <w:jc w:val="both"/>
              <w:rPr>
                <w:rFonts w:ascii="Arial" w:hAnsi="Arial" w:cs="Arial"/>
                <w:sz w:val="17"/>
                <w:szCs w:val="17"/>
                <w:lang w:val="es-ES"/>
              </w:rPr>
            </w:pPr>
            <w:r w:rsidRPr="00CB4998">
              <w:rPr>
                <w:rFonts w:ascii="Arial" w:hAnsi="Arial" w:cs="Arial"/>
                <w:sz w:val="17"/>
                <w:szCs w:val="17"/>
                <w:lang w:val="es-ES"/>
              </w:rPr>
              <w:t>Deuda Pública Bruta Tota</w:t>
            </w:r>
            <w:r>
              <w:rPr>
                <w:rFonts w:ascii="Arial" w:hAnsi="Arial" w:cs="Arial"/>
                <w:sz w:val="17"/>
                <w:szCs w:val="17"/>
                <w:lang w:val="es-ES"/>
              </w:rPr>
              <w:t>l descontando la amortización 12</w:t>
            </w:r>
          </w:p>
        </w:tc>
        <w:tc>
          <w:tcPr>
            <w:tcW w:w="0" w:type="auto"/>
          </w:tcPr>
          <w:p w:rsidR="00A35DFF" w:rsidRDefault="00A35DFF" w:rsidP="00A35DFF">
            <w:pPr>
              <w:autoSpaceDE w:val="0"/>
              <w:autoSpaceDN w:val="0"/>
              <w:adjustRightInd w:val="0"/>
              <w:jc w:val="right"/>
              <w:rPr>
                <w:rFonts w:ascii="Arial" w:hAnsi="Arial" w:cs="Arial"/>
                <w:sz w:val="17"/>
                <w:szCs w:val="17"/>
                <w:lang w:val="es-ES"/>
              </w:rPr>
            </w:pPr>
            <w:r>
              <w:rPr>
                <w:rFonts w:ascii="Arial" w:hAnsi="Arial" w:cs="Arial"/>
                <w:sz w:val="17"/>
                <w:szCs w:val="17"/>
                <w:lang w:val="es-ES"/>
              </w:rPr>
              <w:t>1,049,295,003</w:t>
            </w:r>
          </w:p>
        </w:tc>
      </w:tr>
    </w:tbl>
    <w:p w:rsidR="00A208E2" w:rsidRDefault="00A208E2" w:rsidP="00A67440">
      <w:pPr>
        <w:spacing w:before="120" w:after="120" w:line="240" w:lineRule="exact"/>
        <w:jc w:val="both"/>
        <w:rPr>
          <w:rFonts w:ascii="Arial" w:eastAsia="Calibri" w:hAnsi="Arial" w:cs="Arial"/>
          <w:spacing w:val="-1"/>
          <w:sz w:val="17"/>
          <w:szCs w:val="17"/>
        </w:rPr>
      </w:pPr>
    </w:p>
    <w:p w:rsidR="00F94F3E" w:rsidRDefault="00F94F3E" w:rsidP="00CB4998">
      <w:pPr>
        <w:pStyle w:val="Prrafodelista"/>
        <w:numPr>
          <w:ilvl w:val="0"/>
          <w:numId w:val="45"/>
        </w:numPr>
        <w:autoSpaceDE w:val="0"/>
        <w:autoSpaceDN w:val="0"/>
        <w:adjustRightInd w:val="0"/>
        <w:ind w:left="357" w:right="-851" w:hanging="357"/>
        <w:jc w:val="both"/>
        <w:rPr>
          <w:rFonts w:ascii="Arial" w:hAnsi="Arial" w:cs="Arial"/>
          <w:sz w:val="17"/>
          <w:szCs w:val="17"/>
        </w:rPr>
      </w:pPr>
    </w:p>
    <w:p w:rsidR="00CB4998" w:rsidRPr="00CB4998" w:rsidRDefault="00CB4998" w:rsidP="00CB4998">
      <w:pPr>
        <w:pStyle w:val="Prrafodelista"/>
        <w:numPr>
          <w:ilvl w:val="0"/>
          <w:numId w:val="45"/>
        </w:numPr>
        <w:autoSpaceDE w:val="0"/>
        <w:autoSpaceDN w:val="0"/>
        <w:adjustRightInd w:val="0"/>
        <w:ind w:left="357" w:right="-851" w:hanging="357"/>
        <w:jc w:val="both"/>
        <w:rPr>
          <w:rFonts w:ascii="Arial" w:hAnsi="Arial" w:cs="Arial"/>
          <w:sz w:val="17"/>
          <w:szCs w:val="17"/>
        </w:rPr>
      </w:pPr>
      <w:r w:rsidRPr="00CB4998">
        <w:rPr>
          <w:rFonts w:ascii="Arial" w:hAnsi="Arial" w:cs="Arial"/>
          <w:sz w:val="17"/>
          <w:szCs w:val="17"/>
        </w:rPr>
        <w:lastRenderedPageBreak/>
        <w:t>Un comparativo de la relación deuda pública bruta total a producto interno bruto del estado entre el 31 de diciembre del ejercicio fiscal anterior y la fecha de la amortización.</w:t>
      </w:r>
    </w:p>
    <w:p w:rsidR="00A208E2" w:rsidRDefault="00A208E2" w:rsidP="00A67440">
      <w:pPr>
        <w:spacing w:before="120" w:after="120" w:line="240" w:lineRule="exact"/>
        <w:jc w:val="both"/>
        <w:rPr>
          <w:rFonts w:ascii="Arial" w:eastAsia="Calibri" w:hAnsi="Arial" w:cs="Arial"/>
          <w:spacing w:val="-1"/>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01"/>
      </w:tblGrid>
      <w:tr w:rsidR="00CB4998" w:rsidRPr="00CB4998" w:rsidTr="005D109B">
        <w:trPr>
          <w:jc w:val="center"/>
        </w:trPr>
        <w:tc>
          <w:tcPr>
            <w:tcW w:w="4503" w:type="dxa"/>
          </w:tcPr>
          <w:p w:rsidR="00CB4998" w:rsidRPr="00CB4998" w:rsidRDefault="00CB4998" w:rsidP="005D109B">
            <w:pPr>
              <w:autoSpaceDE w:val="0"/>
              <w:autoSpaceDN w:val="0"/>
              <w:adjustRightInd w:val="0"/>
              <w:rPr>
                <w:rFonts w:ascii="Arial" w:hAnsi="Arial" w:cs="Arial"/>
                <w:sz w:val="17"/>
                <w:szCs w:val="17"/>
              </w:rPr>
            </w:pPr>
          </w:p>
        </w:tc>
        <w:tc>
          <w:tcPr>
            <w:tcW w:w="1701" w:type="dxa"/>
          </w:tcPr>
          <w:p w:rsidR="00CB4998" w:rsidRPr="00CB4998" w:rsidRDefault="00CB4998" w:rsidP="006F716B">
            <w:pPr>
              <w:autoSpaceDE w:val="0"/>
              <w:autoSpaceDN w:val="0"/>
              <w:adjustRightInd w:val="0"/>
              <w:jc w:val="center"/>
              <w:rPr>
                <w:rFonts w:ascii="Arial" w:hAnsi="Arial" w:cs="Arial"/>
                <w:b/>
                <w:sz w:val="17"/>
                <w:szCs w:val="17"/>
                <w:lang w:val="es-ES"/>
              </w:rPr>
            </w:pPr>
            <w:r w:rsidRPr="00CB4998">
              <w:rPr>
                <w:rFonts w:ascii="Arial" w:hAnsi="Arial" w:cs="Arial"/>
                <w:b/>
                <w:sz w:val="17"/>
                <w:szCs w:val="17"/>
                <w:lang w:val="es-ES"/>
              </w:rPr>
              <w:t>Al 31 de dic</w:t>
            </w:r>
            <w:r w:rsidR="0050424B">
              <w:rPr>
                <w:rFonts w:ascii="Arial" w:hAnsi="Arial" w:cs="Arial"/>
                <w:b/>
                <w:sz w:val="17"/>
                <w:szCs w:val="17"/>
                <w:lang w:val="es-ES"/>
              </w:rPr>
              <w:t>iembre</w:t>
            </w:r>
            <w:r w:rsidRPr="00CB4998">
              <w:rPr>
                <w:rFonts w:ascii="Arial" w:hAnsi="Arial" w:cs="Arial"/>
                <w:b/>
                <w:sz w:val="17"/>
                <w:szCs w:val="17"/>
                <w:lang w:val="es-ES"/>
              </w:rPr>
              <w:t xml:space="preserve"> del año 201</w:t>
            </w:r>
            <w:r w:rsidR="006F716B">
              <w:rPr>
                <w:rFonts w:ascii="Arial" w:hAnsi="Arial" w:cs="Arial"/>
                <w:b/>
                <w:sz w:val="17"/>
                <w:szCs w:val="17"/>
                <w:lang w:val="es-ES"/>
              </w:rPr>
              <w:t>5</w:t>
            </w:r>
          </w:p>
        </w:tc>
        <w:tc>
          <w:tcPr>
            <w:tcW w:w="1701" w:type="dxa"/>
          </w:tcPr>
          <w:p w:rsidR="00CB4998" w:rsidRPr="00CB4998" w:rsidRDefault="0050424B" w:rsidP="006F716B">
            <w:pPr>
              <w:autoSpaceDE w:val="0"/>
              <w:autoSpaceDN w:val="0"/>
              <w:adjustRightInd w:val="0"/>
              <w:jc w:val="center"/>
              <w:rPr>
                <w:rFonts w:ascii="Arial" w:hAnsi="Arial" w:cs="Arial"/>
                <w:b/>
                <w:sz w:val="17"/>
                <w:szCs w:val="17"/>
                <w:lang w:val="es-ES"/>
              </w:rPr>
            </w:pPr>
            <w:r>
              <w:rPr>
                <w:rFonts w:ascii="Arial" w:hAnsi="Arial" w:cs="Arial"/>
                <w:b/>
                <w:sz w:val="17"/>
                <w:szCs w:val="17"/>
                <w:lang w:val="es-ES"/>
              </w:rPr>
              <w:t>Al 31 de diciembre del año 2016</w:t>
            </w:r>
          </w:p>
        </w:tc>
      </w:tr>
      <w:tr w:rsidR="006F716B" w:rsidRPr="00CB4998" w:rsidTr="005D109B">
        <w:trPr>
          <w:jc w:val="center"/>
        </w:trPr>
        <w:tc>
          <w:tcPr>
            <w:tcW w:w="4503" w:type="dxa"/>
          </w:tcPr>
          <w:p w:rsidR="006F716B" w:rsidRPr="00CB4998" w:rsidRDefault="006F716B" w:rsidP="006F716B">
            <w:pPr>
              <w:autoSpaceDE w:val="0"/>
              <w:autoSpaceDN w:val="0"/>
              <w:adjustRightInd w:val="0"/>
              <w:rPr>
                <w:rFonts w:ascii="Arial" w:hAnsi="Arial" w:cs="Arial"/>
                <w:sz w:val="17"/>
                <w:szCs w:val="17"/>
              </w:rPr>
            </w:pPr>
            <w:r w:rsidRPr="00CB4998">
              <w:rPr>
                <w:rFonts w:ascii="Arial" w:hAnsi="Arial" w:cs="Arial"/>
                <w:sz w:val="17"/>
                <w:szCs w:val="17"/>
              </w:rPr>
              <w:t>Ingresos Propios</w:t>
            </w:r>
          </w:p>
        </w:tc>
        <w:tc>
          <w:tcPr>
            <w:tcW w:w="1701" w:type="dxa"/>
          </w:tcPr>
          <w:p w:rsidR="006F716B" w:rsidRPr="00CB4998" w:rsidRDefault="006F716B"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4,</w:t>
            </w:r>
            <w:r w:rsidRPr="00CB4998">
              <w:rPr>
                <w:rFonts w:ascii="Arial" w:hAnsi="Arial" w:cs="Arial"/>
                <w:sz w:val="17"/>
                <w:szCs w:val="17"/>
                <w:lang w:val="es-ES"/>
              </w:rPr>
              <w:t>340,109,467</w:t>
            </w:r>
          </w:p>
        </w:tc>
        <w:tc>
          <w:tcPr>
            <w:tcW w:w="1701" w:type="dxa"/>
          </w:tcPr>
          <w:p w:rsidR="006F716B" w:rsidRPr="00CB4998" w:rsidRDefault="0050424B"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4</w:t>
            </w:r>
            <w:r w:rsidR="006F716B">
              <w:rPr>
                <w:rFonts w:ascii="Arial" w:hAnsi="Arial" w:cs="Arial"/>
                <w:sz w:val="17"/>
                <w:szCs w:val="17"/>
                <w:lang w:val="es-ES"/>
              </w:rPr>
              <w:t>,9</w:t>
            </w:r>
            <w:r>
              <w:rPr>
                <w:rFonts w:ascii="Arial" w:hAnsi="Arial" w:cs="Arial"/>
                <w:sz w:val="17"/>
                <w:szCs w:val="17"/>
                <w:lang w:val="es-ES"/>
              </w:rPr>
              <w:t>68</w:t>
            </w:r>
            <w:r w:rsidR="006F716B">
              <w:rPr>
                <w:rFonts w:ascii="Arial" w:hAnsi="Arial" w:cs="Arial"/>
                <w:sz w:val="17"/>
                <w:szCs w:val="17"/>
                <w:lang w:val="es-ES"/>
              </w:rPr>
              <w:t>,</w:t>
            </w:r>
            <w:r>
              <w:rPr>
                <w:rFonts w:ascii="Arial" w:hAnsi="Arial" w:cs="Arial"/>
                <w:sz w:val="17"/>
                <w:szCs w:val="17"/>
                <w:lang w:val="es-ES"/>
              </w:rPr>
              <w:t>223</w:t>
            </w:r>
            <w:r w:rsidR="006F716B">
              <w:rPr>
                <w:rFonts w:ascii="Arial" w:hAnsi="Arial" w:cs="Arial"/>
                <w:sz w:val="17"/>
                <w:szCs w:val="17"/>
                <w:lang w:val="es-ES"/>
              </w:rPr>
              <w:t>,</w:t>
            </w:r>
            <w:r>
              <w:rPr>
                <w:rFonts w:ascii="Arial" w:hAnsi="Arial" w:cs="Arial"/>
                <w:sz w:val="17"/>
                <w:szCs w:val="17"/>
                <w:lang w:val="es-ES"/>
              </w:rPr>
              <w:t>020</w:t>
            </w:r>
          </w:p>
        </w:tc>
      </w:tr>
      <w:tr w:rsidR="006F716B" w:rsidRPr="00CB4998" w:rsidTr="005D109B">
        <w:trPr>
          <w:jc w:val="center"/>
        </w:trPr>
        <w:tc>
          <w:tcPr>
            <w:tcW w:w="4503" w:type="dxa"/>
          </w:tcPr>
          <w:p w:rsidR="006F716B" w:rsidRPr="00CB4998" w:rsidRDefault="006F716B" w:rsidP="006F716B">
            <w:pPr>
              <w:autoSpaceDE w:val="0"/>
              <w:autoSpaceDN w:val="0"/>
              <w:adjustRightInd w:val="0"/>
              <w:rPr>
                <w:rFonts w:ascii="Arial" w:hAnsi="Arial" w:cs="Arial"/>
                <w:sz w:val="17"/>
                <w:szCs w:val="17"/>
                <w:lang w:val="es-ES"/>
              </w:rPr>
            </w:pPr>
            <w:r w:rsidRPr="00CB4998">
              <w:rPr>
                <w:rFonts w:ascii="Arial" w:hAnsi="Arial" w:cs="Arial"/>
                <w:sz w:val="17"/>
                <w:szCs w:val="17"/>
                <w:lang w:val="es-ES"/>
              </w:rPr>
              <w:t>Saldo de la Deuda Pública</w:t>
            </w:r>
          </w:p>
        </w:tc>
        <w:tc>
          <w:tcPr>
            <w:tcW w:w="1701" w:type="dxa"/>
          </w:tcPr>
          <w:p w:rsidR="006F716B" w:rsidRPr="00CB4998" w:rsidRDefault="006F716B"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1,</w:t>
            </w:r>
            <w:r w:rsidRPr="00CB4998">
              <w:rPr>
                <w:rFonts w:ascii="Arial" w:hAnsi="Arial" w:cs="Arial"/>
                <w:sz w:val="17"/>
                <w:szCs w:val="17"/>
                <w:lang w:val="es-ES"/>
              </w:rPr>
              <w:t>106,651,468</w:t>
            </w:r>
          </w:p>
        </w:tc>
        <w:tc>
          <w:tcPr>
            <w:tcW w:w="1701" w:type="dxa"/>
          </w:tcPr>
          <w:p w:rsidR="006F716B" w:rsidRPr="00CB4998" w:rsidRDefault="006F716B"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1,0</w:t>
            </w:r>
            <w:r w:rsidR="0050424B">
              <w:rPr>
                <w:rFonts w:ascii="Arial" w:hAnsi="Arial" w:cs="Arial"/>
                <w:sz w:val="17"/>
                <w:szCs w:val="17"/>
                <w:lang w:val="es-ES"/>
              </w:rPr>
              <w:t>49</w:t>
            </w:r>
            <w:r w:rsidRPr="00CB4998">
              <w:rPr>
                <w:rFonts w:ascii="Arial" w:hAnsi="Arial" w:cs="Arial"/>
                <w:sz w:val="17"/>
                <w:szCs w:val="17"/>
                <w:lang w:val="es-ES"/>
              </w:rPr>
              <w:t>,</w:t>
            </w:r>
            <w:r w:rsidR="0050424B">
              <w:rPr>
                <w:rFonts w:ascii="Arial" w:hAnsi="Arial" w:cs="Arial"/>
                <w:sz w:val="17"/>
                <w:szCs w:val="17"/>
                <w:lang w:val="es-ES"/>
              </w:rPr>
              <w:t>295</w:t>
            </w:r>
            <w:r w:rsidRPr="00CB4998">
              <w:rPr>
                <w:rFonts w:ascii="Arial" w:hAnsi="Arial" w:cs="Arial"/>
                <w:sz w:val="17"/>
                <w:szCs w:val="17"/>
                <w:lang w:val="es-ES"/>
              </w:rPr>
              <w:t>,</w:t>
            </w:r>
            <w:r w:rsidR="0050424B">
              <w:rPr>
                <w:rFonts w:ascii="Arial" w:hAnsi="Arial" w:cs="Arial"/>
                <w:sz w:val="17"/>
                <w:szCs w:val="17"/>
                <w:lang w:val="es-ES"/>
              </w:rPr>
              <w:t>003</w:t>
            </w:r>
          </w:p>
        </w:tc>
      </w:tr>
      <w:tr w:rsidR="006F716B" w:rsidRPr="00CB4998" w:rsidTr="005D109B">
        <w:trPr>
          <w:jc w:val="center"/>
        </w:trPr>
        <w:tc>
          <w:tcPr>
            <w:tcW w:w="4503" w:type="dxa"/>
          </w:tcPr>
          <w:p w:rsidR="006F716B" w:rsidRPr="00CB4998" w:rsidRDefault="006F716B" w:rsidP="006F716B">
            <w:pPr>
              <w:autoSpaceDE w:val="0"/>
              <w:autoSpaceDN w:val="0"/>
              <w:adjustRightInd w:val="0"/>
              <w:rPr>
                <w:rFonts w:ascii="Arial" w:hAnsi="Arial" w:cs="Arial"/>
                <w:sz w:val="17"/>
                <w:szCs w:val="17"/>
                <w:lang w:val="es-ES"/>
              </w:rPr>
            </w:pPr>
            <w:r w:rsidRPr="00CB4998">
              <w:rPr>
                <w:rFonts w:ascii="Arial" w:hAnsi="Arial" w:cs="Arial"/>
                <w:sz w:val="17"/>
                <w:szCs w:val="17"/>
                <w:lang w:val="es-ES"/>
              </w:rPr>
              <w:t>Porcentaje</w:t>
            </w:r>
          </w:p>
        </w:tc>
        <w:tc>
          <w:tcPr>
            <w:tcW w:w="1701" w:type="dxa"/>
          </w:tcPr>
          <w:p w:rsidR="006F716B" w:rsidRPr="00CB4998" w:rsidRDefault="006F716B"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25</w:t>
            </w:r>
            <w:r w:rsidRPr="00CB4998">
              <w:rPr>
                <w:rFonts w:ascii="Arial" w:hAnsi="Arial" w:cs="Arial"/>
                <w:sz w:val="17"/>
                <w:szCs w:val="17"/>
                <w:lang w:val="es-ES"/>
              </w:rPr>
              <w:t>.</w:t>
            </w:r>
            <w:r>
              <w:rPr>
                <w:rFonts w:ascii="Arial" w:hAnsi="Arial" w:cs="Arial"/>
                <w:sz w:val="17"/>
                <w:szCs w:val="17"/>
                <w:lang w:val="es-ES"/>
              </w:rPr>
              <w:t>50</w:t>
            </w:r>
            <w:r w:rsidRPr="00CB4998">
              <w:rPr>
                <w:rFonts w:ascii="Arial" w:hAnsi="Arial" w:cs="Arial"/>
                <w:sz w:val="17"/>
                <w:szCs w:val="17"/>
                <w:lang w:val="es-ES"/>
              </w:rPr>
              <w:t>%</w:t>
            </w:r>
          </w:p>
        </w:tc>
        <w:tc>
          <w:tcPr>
            <w:tcW w:w="1701" w:type="dxa"/>
          </w:tcPr>
          <w:p w:rsidR="006F716B" w:rsidRPr="00CB4998" w:rsidRDefault="0050424B" w:rsidP="006F716B">
            <w:pPr>
              <w:autoSpaceDE w:val="0"/>
              <w:autoSpaceDN w:val="0"/>
              <w:adjustRightInd w:val="0"/>
              <w:jc w:val="right"/>
              <w:rPr>
                <w:rFonts w:ascii="Arial" w:hAnsi="Arial" w:cs="Arial"/>
                <w:sz w:val="17"/>
                <w:szCs w:val="17"/>
                <w:lang w:val="es-ES"/>
              </w:rPr>
            </w:pPr>
            <w:r>
              <w:rPr>
                <w:rFonts w:ascii="Arial" w:hAnsi="Arial" w:cs="Arial"/>
                <w:sz w:val="17"/>
                <w:szCs w:val="17"/>
                <w:lang w:val="es-ES"/>
              </w:rPr>
              <w:t>21</w:t>
            </w:r>
            <w:r w:rsidR="006F716B" w:rsidRPr="00CB4998">
              <w:rPr>
                <w:rFonts w:ascii="Arial" w:hAnsi="Arial" w:cs="Arial"/>
                <w:sz w:val="17"/>
                <w:szCs w:val="17"/>
                <w:lang w:val="es-ES"/>
              </w:rPr>
              <w:t>.</w:t>
            </w:r>
            <w:r>
              <w:rPr>
                <w:rFonts w:ascii="Arial" w:hAnsi="Arial" w:cs="Arial"/>
                <w:sz w:val="17"/>
                <w:szCs w:val="17"/>
                <w:lang w:val="es-ES"/>
              </w:rPr>
              <w:t>12</w:t>
            </w:r>
            <w:r w:rsidR="006F716B" w:rsidRPr="00CB4998">
              <w:rPr>
                <w:rFonts w:ascii="Arial" w:hAnsi="Arial" w:cs="Arial"/>
                <w:sz w:val="17"/>
                <w:szCs w:val="17"/>
                <w:lang w:val="es-ES"/>
              </w:rPr>
              <w:t>%</w:t>
            </w:r>
          </w:p>
        </w:tc>
      </w:tr>
    </w:tbl>
    <w:p w:rsidR="00052BAF" w:rsidRDefault="00052BAF" w:rsidP="00A67440">
      <w:pPr>
        <w:spacing w:before="120" w:after="120" w:line="240" w:lineRule="exact"/>
        <w:jc w:val="both"/>
        <w:rPr>
          <w:rFonts w:ascii="Arial" w:eastAsia="Calibri" w:hAnsi="Arial" w:cs="Arial"/>
          <w:spacing w:val="-1"/>
          <w:sz w:val="17"/>
          <w:szCs w:val="17"/>
        </w:rPr>
      </w:pPr>
    </w:p>
    <w:p w:rsidR="00A67440"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0E716C" w:rsidRPr="000E716C" w:rsidRDefault="000E716C" w:rsidP="000E716C">
      <w:pPr>
        <w:spacing w:before="120" w:after="120" w:line="240" w:lineRule="exact"/>
        <w:ind w:left="360"/>
        <w:jc w:val="both"/>
        <w:rPr>
          <w:rFonts w:ascii="Arial" w:eastAsia="Calibri" w:hAnsi="Arial" w:cs="Arial"/>
          <w:b/>
          <w:spacing w:val="-1"/>
          <w:sz w:val="17"/>
          <w:szCs w:val="17"/>
        </w:rPr>
      </w:pPr>
    </w:p>
    <w:p w:rsidR="00916753" w:rsidRPr="000E716C" w:rsidRDefault="006F3052" w:rsidP="000E716C">
      <w:pPr>
        <w:pStyle w:val="Prrafodelista"/>
        <w:numPr>
          <w:ilvl w:val="0"/>
          <w:numId w:val="49"/>
        </w:numPr>
        <w:spacing w:before="120" w:after="120" w:line="240" w:lineRule="exact"/>
        <w:jc w:val="both"/>
        <w:rPr>
          <w:rFonts w:ascii="Arial" w:eastAsia="Calibri" w:hAnsi="Arial" w:cs="Arial"/>
          <w:b/>
          <w:spacing w:val="-1"/>
          <w:sz w:val="17"/>
          <w:szCs w:val="17"/>
          <w:u w:val="single"/>
        </w:rPr>
      </w:pPr>
      <w:r w:rsidRPr="000E716C">
        <w:rPr>
          <w:rFonts w:ascii="Arial" w:eastAsia="Calibri" w:hAnsi="Arial" w:cs="Arial"/>
          <w:b/>
          <w:spacing w:val="-1"/>
          <w:sz w:val="17"/>
          <w:szCs w:val="17"/>
          <w:u w:val="single"/>
        </w:rPr>
        <w:t>Opinión Crediticia emitida por Moody’s Investors Service:</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Resumen de los Fundamentos de la Calificación</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Las calificaciones de emisor del estado de Querétaro de Aa1.mx (Escala Nacional de México) y Baa1 (Escala</w:t>
      </w:r>
      <w:r>
        <w:rPr>
          <w:rFonts w:ascii="Arial" w:eastAsia="Calibri" w:hAnsi="Arial" w:cs="Arial"/>
          <w:spacing w:val="-1"/>
          <w:sz w:val="17"/>
          <w:szCs w:val="17"/>
        </w:rPr>
        <w:t xml:space="preserve"> </w:t>
      </w:r>
      <w:r w:rsidRPr="006F3052">
        <w:rPr>
          <w:rFonts w:ascii="Arial" w:eastAsia="Calibri" w:hAnsi="Arial" w:cs="Arial"/>
          <w:spacing w:val="-1"/>
          <w:sz w:val="17"/>
          <w:szCs w:val="17"/>
        </w:rPr>
        <w:t xml:space="preserve">Global, Moneda Local) reflejan resultados financieros balanceados </w:t>
      </w:r>
      <w:r w:rsidR="004C1B40">
        <w:rPr>
          <w:rFonts w:ascii="Arial" w:eastAsia="Calibri" w:hAnsi="Arial" w:cs="Arial"/>
          <w:spacing w:val="-1"/>
          <w:sz w:val="17"/>
          <w:szCs w:val="17"/>
        </w:rPr>
        <w:t xml:space="preserve">que han generado financiamiento interno para sus proyectos de capital. </w:t>
      </w:r>
      <w:r w:rsidRPr="006F3052">
        <w:rPr>
          <w:rFonts w:ascii="Arial" w:eastAsia="Calibri" w:hAnsi="Arial" w:cs="Arial"/>
          <w:spacing w:val="-1"/>
          <w:sz w:val="17"/>
          <w:szCs w:val="17"/>
        </w:rPr>
        <w:t>Entre 201</w:t>
      </w:r>
      <w:r w:rsidR="004C1B40">
        <w:rPr>
          <w:rFonts w:ascii="Arial" w:eastAsia="Calibri" w:hAnsi="Arial" w:cs="Arial"/>
          <w:spacing w:val="-1"/>
          <w:sz w:val="17"/>
          <w:szCs w:val="17"/>
        </w:rPr>
        <w:t>1</w:t>
      </w:r>
      <w:r w:rsidRPr="006F3052">
        <w:rPr>
          <w:rFonts w:ascii="Arial" w:eastAsia="Calibri" w:hAnsi="Arial" w:cs="Arial"/>
          <w:spacing w:val="-1"/>
          <w:sz w:val="17"/>
          <w:szCs w:val="17"/>
        </w:rPr>
        <w:t xml:space="preserve"> y 201</w:t>
      </w:r>
      <w:r w:rsidR="004C1B40">
        <w:rPr>
          <w:rFonts w:ascii="Arial" w:eastAsia="Calibri" w:hAnsi="Arial" w:cs="Arial"/>
          <w:spacing w:val="-1"/>
          <w:sz w:val="17"/>
          <w:szCs w:val="17"/>
        </w:rPr>
        <w:t>5</w:t>
      </w:r>
      <w:r w:rsidRPr="006F3052">
        <w:rPr>
          <w:rFonts w:ascii="Arial" w:eastAsia="Calibri" w:hAnsi="Arial" w:cs="Arial"/>
          <w:spacing w:val="-1"/>
          <w:sz w:val="17"/>
          <w:szCs w:val="17"/>
        </w:rPr>
        <w:t xml:space="preserve"> los resultados financieros promediaron </w:t>
      </w:r>
      <w:r w:rsidR="004C1B40">
        <w:rPr>
          <w:rFonts w:ascii="Arial" w:eastAsia="Calibri" w:hAnsi="Arial" w:cs="Arial"/>
          <w:spacing w:val="-1"/>
          <w:sz w:val="17"/>
          <w:szCs w:val="17"/>
        </w:rPr>
        <w:t>1</w:t>
      </w:r>
      <w:r w:rsidRPr="006F3052">
        <w:rPr>
          <w:rFonts w:ascii="Arial" w:eastAsia="Calibri" w:hAnsi="Arial" w:cs="Arial"/>
          <w:spacing w:val="-1"/>
          <w:sz w:val="17"/>
          <w:szCs w:val="17"/>
        </w:rPr>
        <w:t>.</w:t>
      </w:r>
      <w:r w:rsidR="004C1B40">
        <w:rPr>
          <w:rFonts w:ascii="Arial" w:eastAsia="Calibri" w:hAnsi="Arial" w:cs="Arial"/>
          <w:spacing w:val="-1"/>
          <w:sz w:val="17"/>
          <w:szCs w:val="17"/>
        </w:rPr>
        <w:t>19</w:t>
      </w:r>
      <w:r w:rsidRPr="006F3052">
        <w:rPr>
          <w:rFonts w:ascii="Arial" w:eastAsia="Calibri" w:hAnsi="Arial" w:cs="Arial"/>
          <w:spacing w:val="-1"/>
          <w:sz w:val="17"/>
          <w:szCs w:val="17"/>
        </w:rPr>
        <w:t>% del total de los</w:t>
      </w:r>
      <w:r>
        <w:rPr>
          <w:rFonts w:ascii="Arial" w:eastAsia="Calibri" w:hAnsi="Arial" w:cs="Arial"/>
          <w:spacing w:val="-1"/>
          <w:sz w:val="17"/>
          <w:szCs w:val="17"/>
        </w:rPr>
        <w:t xml:space="preserve"> </w:t>
      </w:r>
      <w:r w:rsidRPr="006F3052">
        <w:rPr>
          <w:rFonts w:ascii="Arial" w:eastAsia="Calibri" w:hAnsi="Arial" w:cs="Arial"/>
          <w:spacing w:val="-1"/>
          <w:sz w:val="17"/>
          <w:szCs w:val="17"/>
        </w:rPr>
        <w:t>ingresos y como resultado, la deuda ha tendido a reducirse. La deuda directa e indirecta neta fue</w:t>
      </w:r>
      <w:r>
        <w:rPr>
          <w:rFonts w:ascii="Arial" w:eastAsia="Calibri" w:hAnsi="Arial" w:cs="Arial"/>
          <w:spacing w:val="-1"/>
          <w:sz w:val="17"/>
          <w:szCs w:val="17"/>
        </w:rPr>
        <w:t xml:space="preserve"> </w:t>
      </w:r>
      <w:r w:rsidRPr="006F3052">
        <w:rPr>
          <w:rFonts w:ascii="Arial" w:eastAsia="Calibri" w:hAnsi="Arial" w:cs="Arial"/>
          <w:spacing w:val="-1"/>
          <w:sz w:val="17"/>
          <w:szCs w:val="17"/>
        </w:rPr>
        <w:t xml:space="preserve">equivalente a </w:t>
      </w:r>
      <w:r w:rsidR="004C1B40">
        <w:rPr>
          <w:rFonts w:ascii="Arial" w:eastAsia="Calibri" w:hAnsi="Arial" w:cs="Arial"/>
          <w:spacing w:val="-1"/>
          <w:sz w:val="17"/>
          <w:szCs w:val="17"/>
        </w:rPr>
        <w:t xml:space="preserve">un bajo </w:t>
      </w:r>
      <w:r w:rsidRPr="006F3052">
        <w:rPr>
          <w:rFonts w:ascii="Arial" w:eastAsia="Calibri" w:hAnsi="Arial" w:cs="Arial"/>
          <w:spacing w:val="-1"/>
          <w:sz w:val="17"/>
          <w:szCs w:val="17"/>
        </w:rPr>
        <w:t>4.</w:t>
      </w:r>
      <w:r w:rsidR="004C1B40">
        <w:rPr>
          <w:rFonts w:ascii="Arial" w:eastAsia="Calibri" w:hAnsi="Arial" w:cs="Arial"/>
          <w:spacing w:val="-1"/>
          <w:sz w:val="17"/>
          <w:szCs w:val="17"/>
        </w:rPr>
        <w:t>1</w:t>
      </w:r>
      <w:r w:rsidRPr="006F3052">
        <w:rPr>
          <w:rFonts w:ascii="Arial" w:eastAsia="Calibri" w:hAnsi="Arial" w:cs="Arial"/>
          <w:spacing w:val="-1"/>
          <w:sz w:val="17"/>
          <w:szCs w:val="17"/>
        </w:rPr>
        <w:t>% de los ingresos totales a finales de 201</w:t>
      </w:r>
      <w:r w:rsidR="004C1B40">
        <w:rPr>
          <w:rFonts w:ascii="Arial" w:eastAsia="Calibri" w:hAnsi="Arial" w:cs="Arial"/>
          <w:spacing w:val="-1"/>
          <w:sz w:val="17"/>
          <w:szCs w:val="17"/>
        </w:rPr>
        <w:t>5</w:t>
      </w:r>
      <w:r w:rsidRPr="006F3052">
        <w:rPr>
          <w:rFonts w:ascii="Arial" w:eastAsia="Calibri" w:hAnsi="Arial" w:cs="Arial"/>
          <w:spacing w:val="-1"/>
          <w:sz w:val="17"/>
          <w:szCs w:val="17"/>
        </w:rPr>
        <w:t>. La liquidez</w:t>
      </w:r>
      <w:r>
        <w:rPr>
          <w:rFonts w:ascii="Arial" w:eastAsia="Calibri" w:hAnsi="Arial" w:cs="Arial"/>
          <w:spacing w:val="-1"/>
          <w:sz w:val="17"/>
          <w:szCs w:val="17"/>
        </w:rPr>
        <w:t xml:space="preserve"> </w:t>
      </w:r>
      <w:r w:rsidRPr="006F3052">
        <w:rPr>
          <w:rFonts w:ascii="Arial" w:eastAsia="Calibri" w:hAnsi="Arial" w:cs="Arial"/>
          <w:spacing w:val="-1"/>
          <w:sz w:val="17"/>
          <w:szCs w:val="17"/>
        </w:rPr>
        <w:t>se ha mantenido positiva y durante el ejercicio 201</w:t>
      </w:r>
      <w:r w:rsidR="004C1B40">
        <w:rPr>
          <w:rFonts w:ascii="Arial" w:eastAsia="Calibri" w:hAnsi="Arial" w:cs="Arial"/>
          <w:spacing w:val="-1"/>
          <w:sz w:val="17"/>
          <w:szCs w:val="17"/>
        </w:rPr>
        <w:t>5</w:t>
      </w:r>
      <w:r w:rsidRPr="006F3052">
        <w:rPr>
          <w:rFonts w:ascii="Arial" w:eastAsia="Calibri" w:hAnsi="Arial" w:cs="Arial"/>
          <w:spacing w:val="-1"/>
          <w:sz w:val="17"/>
          <w:szCs w:val="17"/>
        </w:rPr>
        <w:t xml:space="preserve"> se registró un capital de trabajo neto equivalente a un</w:t>
      </w:r>
      <w:r>
        <w:rPr>
          <w:rFonts w:ascii="Arial" w:eastAsia="Calibri" w:hAnsi="Arial" w:cs="Arial"/>
          <w:spacing w:val="-1"/>
          <w:sz w:val="17"/>
          <w:szCs w:val="17"/>
        </w:rPr>
        <w:t xml:space="preserve"> </w:t>
      </w:r>
      <w:r w:rsidR="004C1B40">
        <w:rPr>
          <w:rFonts w:ascii="Arial" w:eastAsia="Calibri" w:hAnsi="Arial" w:cs="Arial"/>
          <w:spacing w:val="-1"/>
          <w:sz w:val="17"/>
          <w:szCs w:val="17"/>
        </w:rPr>
        <w:t>1</w:t>
      </w:r>
      <w:r w:rsidRPr="006F3052">
        <w:rPr>
          <w:rFonts w:ascii="Arial" w:eastAsia="Calibri" w:hAnsi="Arial" w:cs="Arial"/>
          <w:spacing w:val="-1"/>
          <w:sz w:val="17"/>
          <w:szCs w:val="17"/>
        </w:rPr>
        <w:t>3.</w:t>
      </w:r>
      <w:r w:rsidR="004C1B40">
        <w:rPr>
          <w:rFonts w:ascii="Arial" w:eastAsia="Calibri" w:hAnsi="Arial" w:cs="Arial"/>
          <w:spacing w:val="-1"/>
          <w:sz w:val="17"/>
          <w:szCs w:val="17"/>
        </w:rPr>
        <w:t>1</w:t>
      </w:r>
      <w:r w:rsidRPr="006F3052">
        <w:rPr>
          <w:rFonts w:ascii="Arial" w:eastAsia="Calibri" w:hAnsi="Arial" w:cs="Arial"/>
          <w:spacing w:val="-1"/>
          <w:sz w:val="17"/>
          <w:szCs w:val="17"/>
        </w:rPr>
        <w:t>% de los gastos totales. Las calificaciones también toman en cuenta las debilidades crediticias derivadas</w:t>
      </w:r>
      <w:r>
        <w:rPr>
          <w:rFonts w:ascii="Arial" w:eastAsia="Calibri" w:hAnsi="Arial" w:cs="Arial"/>
          <w:spacing w:val="-1"/>
          <w:sz w:val="17"/>
          <w:szCs w:val="17"/>
        </w:rPr>
        <w:t xml:space="preserve"> </w:t>
      </w:r>
      <w:r w:rsidRPr="006F3052">
        <w:rPr>
          <w:rFonts w:ascii="Arial" w:eastAsia="Calibri" w:hAnsi="Arial" w:cs="Arial"/>
          <w:spacing w:val="-1"/>
          <w:sz w:val="17"/>
          <w:szCs w:val="17"/>
        </w:rPr>
        <w:t>del elevado pasivo por pensiones no fondeado, parcialmente contrarrestadas por una dinámica y creciente</w:t>
      </w:r>
      <w:r>
        <w:rPr>
          <w:rFonts w:ascii="Arial" w:eastAsia="Calibri" w:hAnsi="Arial" w:cs="Arial"/>
          <w:spacing w:val="-1"/>
          <w:sz w:val="17"/>
          <w:szCs w:val="17"/>
        </w:rPr>
        <w:t xml:space="preserve"> </w:t>
      </w:r>
      <w:r w:rsidRPr="006F3052">
        <w:rPr>
          <w:rFonts w:ascii="Arial" w:eastAsia="Calibri" w:hAnsi="Arial" w:cs="Arial"/>
          <w:spacing w:val="-1"/>
          <w:sz w:val="17"/>
          <w:szCs w:val="17"/>
        </w:rPr>
        <w:t>economía estatal que respalda niveles relativamente altos de ingresos propios.</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Comparación entre Emisores Nacionales</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El estado de Querétaro se encuentra calificado en el rango superior de los estados calificados en México,</w:t>
      </w:r>
      <w:r>
        <w:rPr>
          <w:rFonts w:ascii="Arial" w:eastAsia="Calibri" w:hAnsi="Arial" w:cs="Arial"/>
          <w:spacing w:val="-1"/>
          <w:sz w:val="17"/>
          <w:szCs w:val="17"/>
        </w:rPr>
        <w:t xml:space="preserve"> </w:t>
      </w:r>
      <w:r w:rsidRPr="006F3052">
        <w:rPr>
          <w:rFonts w:ascii="Arial" w:eastAsia="Calibri" w:hAnsi="Arial" w:cs="Arial"/>
          <w:spacing w:val="-1"/>
          <w:sz w:val="17"/>
          <w:szCs w:val="17"/>
        </w:rPr>
        <w:t>cuyas calificaciones van de Baa1 a Ba3. La posición de Querétaro en relación a sus pares nacionales refleja</w:t>
      </w:r>
      <w:r>
        <w:rPr>
          <w:rFonts w:ascii="Arial" w:eastAsia="Calibri" w:hAnsi="Arial" w:cs="Arial"/>
          <w:spacing w:val="-1"/>
          <w:sz w:val="17"/>
          <w:szCs w:val="17"/>
        </w:rPr>
        <w:t xml:space="preserve"> </w:t>
      </w:r>
      <w:r w:rsidRPr="006F3052">
        <w:rPr>
          <w:rFonts w:ascii="Arial" w:eastAsia="Calibri" w:hAnsi="Arial" w:cs="Arial"/>
          <w:spacing w:val="-1"/>
          <w:sz w:val="17"/>
          <w:szCs w:val="17"/>
        </w:rPr>
        <w:t>niveles de deuda por debajo de los de sus pares Baa, resultados fiscales básicamente en línea con los de sus</w:t>
      </w:r>
      <w:r>
        <w:rPr>
          <w:rFonts w:ascii="Arial" w:eastAsia="Calibri" w:hAnsi="Arial" w:cs="Arial"/>
          <w:spacing w:val="-1"/>
          <w:sz w:val="17"/>
          <w:szCs w:val="17"/>
        </w:rPr>
        <w:t xml:space="preserve"> </w:t>
      </w:r>
      <w:r w:rsidRPr="006F3052">
        <w:rPr>
          <w:rFonts w:ascii="Arial" w:eastAsia="Calibri" w:hAnsi="Arial" w:cs="Arial"/>
          <w:spacing w:val="-1"/>
          <w:sz w:val="17"/>
          <w:szCs w:val="17"/>
        </w:rPr>
        <w:t>pares y una positiva posición de liquidez. Estos factores son parcialmente compensados por un elevado</w:t>
      </w:r>
      <w:r>
        <w:rPr>
          <w:rFonts w:ascii="Arial" w:eastAsia="Calibri" w:hAnsi="Arial" w:cs="Arial"/>
          <w:spacing w:val="-1"/>
          <w:sz w:val="17"/>
          <w:szCs w:val="17"/>
        </w:rPr>
        <w:t xml:space="preserve"> </w:t>
      </w:r>
      <w:r w:rsidRPr="006F3052">
        <w:rPr>
          <w:rFonts w:ascii="Arial" w:eastAsia="Calibri" w:hAnsi="Arial" w:cs="Arial"/>
          <w:spacing w:val="-1"/>
          <w:sz w:val="17"/>
          <w:szCs w:val="17"/>
        </w:rPr>
        <w:t>pasivo por pensiones no fondeado.</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Fortalezas Crediticias</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Economía dinámica que respalda una productiva base de ingresos propios</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Fuertes prácticas de administración y gobierno</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Sólido desempeño financiero</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Bajos niveles de deuda y de servicio de la deuda</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Sólida posición de liquidez</w:t>
      </w:r>
    </w:p>
    <w:p w:rsidR="00AB4964" w:rsidRDefault="00AB4964">
      <w:pPr>
        <w:rPr>
          <w:rFonts w:ascii="Arial" w:eastAsia="Calibri" w:hAnsi="Arial" w:cs="Arial"/>
          <w:b/>
          <w:spacing w:val="-1"/>
          <w:sz w:val="17"/>
          <w:szCs w:val="17"/>
        </w:rPr>
      </w:pPr>
      <w:r>
        <w:rPr>
          <w:rFonts w:ascii="Arial" w:eastAsia="Calibri" w:hAnsi="Arial" w:cs="Arial"/>
          <w:b/>
          <w:spacing w:val="-1"/>
          <w:sz w:val="17"/>
          <w:szCs w:val="17"/>
        </w:rPr>
        <w:br w:type="page"/>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lastRenderedPageBreak/>
        <w:t>Retos Crediticios</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Presiones de gasto de capital derivadas del crecimiento económico y poblacional</w:t>
      </w:r>
    </w:p>
    <w:p w:rsidR="006F3052" w:rsidRP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Elevado pasivo por pensiones sin fondear</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Perspectiva de la Calificación</w:t>
      </w:r>
    </w:p>
    <w:p w:rsidR="006F3052" w:rsidRDefault="006F3052" w:rsidP="006F3052">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La perspectiva de las calificaciones </w:t>
      </w:r>
      <w:r w:rsidR="00265933">
        <w:rPr>
          <w:rFonts w:ascii="Arial" w:eastAsia="Calibri" w:hAnsi="Arial" w:cs="Arial"/>
          <w:spacing w:val="-1"/>
          <w:sz w:val="17"/>
          <w:szCs w:val="17"/>
        </w:rPr>
        <w:t>del Estado de Querétaro es negativa, en línea con la perspectiva de la calificación de los bonos soberanos de México (A3, negativa).</w:t>
      </w:r>
    </w:p>
    <w:p w:rsidR="00265933" w:rsidRPr="006F3052" w:rsidRDefault="00265933" w:rsidP="00265933">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Acontecimientos Recientes</w:t>
      </w:r>
    </w:p>
    <w:p w:rsidR="00265933" w:rsidRPr="006F3052" w:rsidRDefault="00265933" w:rsidP="006F305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1 de abril, Moody’s modificó la perspectiva del Estado de Querétaro a negativa de estable. Esta acción siguió a la acción de calificación del 31 de marzo en la que la agencia cambió la perspectiva a negativa de estable de la calificación de A3</w:t>
      </w:r>
      <w:r w:rsidR="00D621D4">
        <w:rPr>
          <w:rFonts w:ascii="Arial" w:eastAsia="Calibri" w:hAnsi="Arial" w:cs="Arial"/>
          <w:spacing w:val="-1"/>
          <w:sz w:val="17"/>
          <w:szCs w:val="17"/>
        </w:rPr>
        <w:t xml:space="preserve"> de los bonos soberanos de México.</w:t>
      </w:r>
    </w:p>
    <w:p w:rsidR="006F3052" w:rsidRPr="006F3052" w:rsidRDefault="00D621D4" w:rsidP="006F3052">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Factores que Podrían Cambiar la Calificación al Alza</w:t>
      </w:r>
    </w:p>
    <w:p w:rsidR="00D621D4" w:rsidRDefault="00D621D4" w:rsidP="00D621D4">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 </w:t>
      </w:r>
      <w:r>
        <w:rPr>
          <w:rFonts w:ascii="Arial" w:eastAsia="Calibri" w:hAnsi="Arial" w:cs="Arial"/>
          <w:spacing w:val="-1"/>
          <w:sz w:val="17"/>
          <w:szCs w:val="17"/>
        </w:rPr>
        <w:t>El fortalecimiento del fondo de reserva para el pago de pensiones</w:t>
      </w:r>
    </w:p>
    <w:p w:rsidR="00D621D4" w:rsidRDefault="00D621D4" w:rsidP="00D621D4">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Una mejora importante en el nivel de ingresos propios</w:t>
      </w:r>
    </w:p>
    <w:p w:rsidR="00D621D4" w:rsidRPr="006F3052" w:rsidRDefault="00D621D4" w:rsidP="00D621D4">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El continuo registro de resultados financieros consolidados balanceados que permita fortalecer aún más la liquidez del Estado de Querétaro, manteniendo niveles relativamente bajos de deuda</w:t>
      </w:r>
    </w:p>
    <w:p w:rsidR="00D621D4" w:rsidRPr="006F3052" w:rsidRDefault="00D621D4" w:rsidP="00D621D4">
      <w:p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Factores que Podrían Cambiar la Calificación a</w:t>
      </w:r>
      <w:r w:rsidR="00FB426B">
        <w:rPr>
          <w:rFonts w:ascii="Arial" w:eastAsia="Calibri" w:hAnsi="Arial" w:cs="Arial"/>
          <w:b/>
          <w:spacing w:val="-1"/>
          <w:sz w:val="17"/>
          <w:szCs w:val="17"/>
        </w:rPr>
        <w:t xml:space="preserve"> </w:t>
      </w:r>
      <w:r>
        <w:rPr>
          <w:rFonts w:ascii="Arial" w:eastAsia="Calibri" w:hAnsi="Arial" w:cs="Arial"/>
          <w:b/>
          <w:spacing w:val="-1"/>
          <w:sz w:val="17"/>
          <w:szCs w:val="17"/>
        </w:rPr>
        <w:t>l</w:t>
      </w:r>
      <w:r w:rsidR="00FB426B">
        <w:rPr>
          <w:rFonts w:ascii="Arial" w:eastAsia="Calibri" w:hAnsi="Arial" w:cs="Arial"/>
          <w:b/>
          <w:spacing w:val="-1"/>
          <w:sz w:val="17"/>
          <w:szCs w:val="17"/>
        </w:rPr>
        <w:t>a Baja</w:t>
      </w:r>
    </w:p>
    <w:p w:rsidR="00FB426B" w:rsidRDefault="00FB426B" w:rsidP="00FB426B">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Una baja en la calificación de los bonos soberanos de México (A3, negativa)</w:t>
      </w:r>
    </w:p>
    <w:p w:rsidR="00FB426B" w:rsidRDefault="00FB426B" w:rsidP="00DD6F0D">
      <w:pPr>
        <w:tabs>
          <w:tab w:val="left" w:pos="11735"/>
        </w:tabs>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Un cambio en su política fiscal que ocasione incrementos en los niveles de deuda</w:t>
      </w:r>
      <w:r w:rsidR="00DD6F0D">
        <w:rPr>
          <w:rFonts w:ascii="Arial" w:eastAsia="Calibri" w:hAnsi="Arial" w:cs="Arial"/>
          <w:spacing w:val="-1"/>
          <w:sz w:val="17"/>
          <w:szCs w:val="17"/>
        </w:rPr>
        <w:tab/>
      </w:r>
    </w:p>
    <w:p w:rsidR="00FB426B" w:rsidRDefault="00FB426B" w:rsidP="00FB426B">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w:t>
      </w:r>
      <w:r>
        <w:rPr>
          <w:rFonts w:ascii="Arial" w:eastAsia="Calibri" w:hAnsi="Arial" w:cs="Arial"/>
          <w:spacing w:val="-1"/>
          <w:sz w:val="17"/>
          <w:szCs w:val="17"/>
        </w:rPr>
        <w:t xml:space="preserve"> El deterioro de la liquidez.</w:t>
      </w:r>
    </w:p>
    <w:p w:rsidR="006F3052" w:rsidRPr="006F3052" w:rsidRDefault="006F3052" w:rsidP="006F3052">
      <w:pPr>
        <w:spacing w:before="120" w:after="120" w:line="240" w:lineRule="exact"/>
        <w:jc w:val="both"/>
        <w:rPr>
          <w:rFonts w:ascii="Arial" w:eastAsia="Calibri" w:hAnsi="Arial" w:cs="Arial"/>
          <w:b/>
          <w:spacing w:val="-1"/>
          <w:sz w:val="17"/>
          <w:szCs w:val="17"/>
        </w:rPr>
      </w:pPr>
      <w:r w:rsidRPr="006F3052">
        <w:rPr>
          <w:rFonts w:ascii="Arial" w:eastAsia="Calibri" w:hAnsi="Arial" w:cs="Arial"/>
          <w:b/>
          <w:spacing w:val="-1"/>
          <w:sz w:val="17"/>
          <w:szCs w:val="17"/>
        </w:rPr>
        <w:t>Detalle de los Fundamentos de la Calificación</w:t>
      </w:r>
    </w:p>
    <w:p w:rsidR="006F3052" w:rsidRDefault="00FB426B" w:rsidP="006F305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calificación asignada al E</w:t>
      </w:r>
      <w:r w:rsidR="006F3052" w:rsidRPr="006F3052">
        <w:rPr>
          <w:rFonts w:ascii="Arial" w:eastAsia="Calibri" w:hAnsi="Arial" w:cs="Arial"/>
          <w:spacing w:val="-1"/>
          <w:sz w:val="17"/>
          <w:szCs w:val="17"/>
        </w:rPr>
        <w:t xml:space="preserve">stado de Querétaro combina </w:t>
      </w:r>
      <w:r>
        <w:rPr>
          <w:rFonts w:ascii="Arial" w:eastAsia="Calibri" w:hAnsi="Arial" w:cs="Arial"/>
          <w:spacing w:val="-1"/>
          <w:sz w:val="17"/>
          <w:szCs w:val="17"/>
        </w:rPr>
        <w:t xml:space="preserve">1) </w:t>
      </w:r>
      <w:r w:rsidR="006F3052" w:rsidRPr="006F3052">
        <w:rPr>
          <w:rFonts w:ascii="Arial" w:eastAsia="Calibri" w:hAnsi="Arial" w:cs="Arial"/>
          <w:spacing w:val="-1"/>
          <w:sz w:val="17"/>
          <w:szCs w:val="17"/>
        </w:rPr>
        <w:t>la evaluación del riesgo crediticio base (BCA por</w:t>
      </w:r>
      <w:r w:rsidR="006F3052">
        <w:rPr>
          <w:rFonts w:ascii="Arial" w:eastAsia="Calibri" w:hAnsi="Arial" w:cs="Arial"/>
          <w:spacing w:val="-1"/>
          <w:sz w:val="17"/>
          <w:szCs w:val="17"/>
        </w:rPr>
        <w:t xml:space="preserve"> </w:t>
      </w:r>
      <w:r w:rsidR="006F3052" w:rsidRPr="006F3052">
        <w:rPr>
          <w:rFonts w:ascii="Arial" w:eastAsia="Calibri" w:hAnsi="Arial" w:cs="Arial"/>
          <w:spacing w:val="-1"/>
          <w:sz w:val="17"/>
          <w:szCs w:val="17"/>
        </w:rPr>
        <w:t xml:space="preserve">sus siglas en inglés) del estado </w:t>
      </w:r>
      <w:r>
        <w:rPr>
          <w:rFonts w:ascii="Arial" w:eastAsia="Calibri" w:hAnsi="Arial" w:cs="Arial"/>
          <w:spacing w:val="-1"/>
          <w:sz w:val="17"/>
          <w:szCs w:val="17"/>
        </w:rPr>
        <w:t xml:space="preserve">de baa1 y 2) </w:t>
      </w:r>
      <w:r w:rsidR="006F3052" w:rsidRPr="006F3052">
        <w:rPr>
          <w:rFonts w:ascii="Arial" w:eastAsia="Calibri" w:hAnsi="Arial" w:cs="Arial"/>
          <w:spacing w:val="-1"/>
          <w:sz w:val="17"/>
          <w:szCs w:val="17"/>
        </w:rPr>
        <w:t>la probabilidad de apoyo extraordinario proveniente del gobierno federal en</w:t>
      </w:r>
      <w:r w:rsidR="006F3052">
        <w:rPr>
          <w:rFonts w:ascii="Arial" w:eastAsia="Calibri" w:hAnsi="Arial" w:cs="Arial"/>
          <w:spacing w:val="-1"/>
          <w:sz w:val="17"/>
          <w:szCs w:val="17"/>
        </w:rPr>
        <w:t xml:space="preserve"> </w:t>
      </w:r>
      <w:r w:rsidR="006F3052" w:rsidRPr="006F3052">
        <w:rPr>
          <w:rFonts w:ascii="Arial" w:eastAsia="Calibri" w:hAnsi="Arial" w:cs="Arial"/>
          <w:spacing w:val="-1"/>
          <w:sz w:val="17"/>
          <w:szCs w:val="17"/>
        </w:rPr>
        <w:t>caso que la entidad enfrente una aguda situación de estrés de liquidez.</w:t>
      </w:r>
    </w:p>
    <w:p w:rsidR="00916753" w:rsidRDefault="00916753" w:rsidP="00916753">
      <w:pPr>
        <w:spacing w:before="120" w:after="120" w:line="240" w:lineRule="exact"/>
        <w:jc w:val="both"/>
        <w:rPr>
          <w:rFonts w:ascii="Arial" w:eastAsia="Calibri" w:hAnsi="Arial" w:cs="Arial"/>
          <w:spacing w:val="-1"/>
          <w:sz w:val="17"/>
          <w:szCs w:val="17"/>
        </w:rPr>
      </w:pPr>
    </w:p>
    <w:p w:rsidR="00916753" w:rsidRPr="000E716C" w:rsidRDefault="00916753" w:rsidP="000E716C">
      <w:pPr>
        <w:pStyle w:val="Prrafodelista"/>
        <w:numPr>
          <w:ilvl w:val="0"/>
          <w:numId w:val="50"/>
        </w:numPr>
        <w:spacing w:before="120" w:after="120" w:line="240" w:lineRule="exact"/>
        <w:jc w:val="both"/>
        <w:rPr>
          <w:rFonts w:ascii="Arial" w:eastAsia="Calibri" w:hAnsi="Arial" w:cs="Arial"/>
          <w:b/>
          <w:spacing w:val="-1"/>
          <w:sz w:val="17"/>
          <w:szCs w:val="17"/>
          <w:u w:val="single"/>
        </w:rPr>
      </w:pPr>
      <w:r w:rsidRPr="000E716C">
        <w:rPr>
          <w:rFonts w:ascii="Arial" w:eastAsia="Calibri" w:hAnsi="Arial" w:cs="Arial"/>
          <w:b/>
          <w:spacing w:val="-1"/>
          <w:sz w:val="17"/>
          <w:szCs w:val="17"/>
          <w:u w:val="single"/>
        </w:rPr>
        <w:t xml:space="preserve">Opinión Crediticia emitida por </w:t>
      </w:r>
      <w:r w:rsidR="0020781E" w:rsidRPr="000E716C">
        <w:rPr>
          <w:rFonts w:ascii="Arial" w:eastAsia="Calibri" w:hAnsi="Arial" w:cs="Arial"/>
          <w:b/>
          <w:spacing w:val="-1"/>
          <w:sz w:val="17"/>
          <w:szCs w:val="17"/>
          <w:u w:val="single"/>
        </w:rPr>
        <w:t>Standard &amp; Poor's</w:t>
      </w:r>
      <w:r w:rsidRPr="000E716C">
        <w:rPr>
          <w:rFonts w:ascii="Arial" w:eastAsia="Calibri" w:hAnsi="Arial" w:cs="Arial"/>
          <w:b/>
          <w:spacing w:val="-1"/>
          <w:sz w:val="17"/>
          <w:szCs w:val="17"/>
          <w:u w:val="single"/>
        </w:rPr>
        <w:t>:</w:t>
      </w:r>
    </w:p>
    <w:p w:rsidR="00916753" w:rsidRPr="0020781E" w:rsidRDefault="0020781E" w:rsidP="00916753">
      <w:pPr>
        <w:spacing w:before="120" w:after="120" w:line="240" w:lineRule="exact"/>
        <w:jc w:val="both"/>
        <w:rPr>
          <w:rFonts w:ascii="Arial" w:eastAsia="Calibri" w:hAnsi="Arial" w:cs="Arial"/>
          <w:b/>
          <w:spacing w:val="-1"/>
          <w:sz w:val="17"/>
          <w:szCs w:val="17"/>
        </w:rPr>
      </w:pPr>
      <w:r w:rsidRPr="0020781E">
        <w:rPr>
          <w:rFonts w:ascii="Arial" w:eastAsia="Calibri" w:hAnsi="Arial" w:cs="Arial"/>
          <w:b/>
          <w:spacing w:val="-1"/>
          <w:sz w:val="17"/>
          <w:szCs w:val="17"/>
        </w:rPr>
        <w:t>Resumen</w:t>
      </w:r>
    </w:p>
    <w:p w:rsidR="0020781E"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xml:space="preserve">• La calidad crediticia del Estado de Querétaro está respaldada por su posición de liquidez fuerte, su bajo nivel de deuda y su administración financiera satisfactoria. </w:t>
      </w:r>
    </w:p>
    <w:p w:rsidR="0020781E"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xml:space="preserve">• El marco institucional en evolución y desbalanceado y la débil flexibilidad presupuestal del Estado son los principales factores que limitan la calificación. </w:t>
      </w:r>
    </w:p>
    <w:p w:rsidR="0020781E"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Confirmamos las calificaciones en escala global de ‘BBB’ y en escala nacional de ‘</w:t>
      </w:r>
      <w:r w:rsidR="0020781E">
        <w:rPr>
          <w:rFonts w:ascii="Arial" w:eastAsia="Calibri" w:hAnsi="Arial" w:cs="Arial"/>
          <w:spacing w:val="-1"/>
          <w:sz w:val="17"/>
          <w:szCs w:val="17"/>
        </w:rPr>
        <w:t>mxAA+’ del Estado de Querétaro.</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La perspectiva estable refleja nuestra expectativa de que Querétaro mantendrá sus adecuadas prácticas de administración financiera, una posición de liquidez fuerte y un nivel b</w:t>
      </w:r>
      <w:r w:rsidR="0020781E">
        <w:rPr>
          <w:rFonts w:ascii="Arial" w:eastAsia="Calibri" w:hAnsi="Arial" w:cs="Arial"/>
          <w:spacing w:val="-1"/>
          <w:sz w:val="17"/>
          <w:szCs w:val="17"/>
        </w:rPr>
        <w:t>ajo de deuda durante 2016-2018.</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lastRenderedPageBreak/>
        <w:t xml:space="preserve"> </w:t>
      </w:r>
    </w:p>
    <w:p w:rsidR="0020781E" w:rsidRPr="0020781E" w:rsidRDefault="00916753" w:rsidP="00916753">
      <w:pPr>
        <w:spacing w:before="120" w:after="120" w:line="240" w:lineRule="exact"/>
        <w:jc w:val="both"/>
        <w:rPr>
          <w:rFonts w:ascii="Arial" w:eastAsia="Calibri" w:hAnsi="Arial" w:cs="Arial"/>
          <w:b/>
          <w:spacing w:val="-1"/>
          <w:sz w:val="17"/>
          <w:szCs w:val="17"/>
        </w:rPr>
      </w:pPr>
      <w:r w:rsidRPr="0020781E">
        <w:rPr>
          <w:rFonts w:ascii="Arial" w:eastAsia="Calibri" w:hAnsi="Arial" w:cs="Arial"/>
          <w:b/>
          <w:spacing w:val="-1"/>
          <w:sz w:val="17"/>
          <w:szCs w:val="17"/>
        </w:rPr>
        <w:t>Acción de Calificación</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Ciudad de México, 11 de julio de 2016.- Standard &amp; Poor’s confirmó sus calificaciones en escala global de ‘BBB’ y en escala nacional –CaVal- de ‘mxAA+’ del Estado de Querétaro, México. La pe</w:t>
      </w:r>
      <w:r w:rsidR="0020781E">
        <w:rPr>
          <w:rFonts w:ascii="Arial" w:eastAsia="Calibri" w:hAnsi="Arial" w:cs="Arial"/>
          <w:spacing w:val="-1"/>
          <w:sz w:val="17"/>
          <w:szCs w:val="17"/>
        </w:rPr>
        <w:t>rspectiva se mantiene estable.</w:t>
      </w:r>
    </w:p>
    <w:p w:rsidR="0020781E" w:rsidRPr="0020781E" w:rsidRDefault="00916753" w:rsidP="00916753">
      <w:pPr>
        <w:spacing w:before="120" w:after="120" w:line="240" w:lineRule="exact"/>
        <w:jc w:val="both"/>
        <w:rPr>
          <w:rFonts w:ascii="Arial" w:eastAsia="Calibri" w:hAnsi="Arial" w:cs="Arial"/>
          <w:b/>
          <w:spacing w:val="-1"/>
          <w:sz w:val="17"/>
          <w:szCs w:val="17"/>
        </w:rPr>
      </w:pPr>
      <w:r w:rsidRPr="0020781E">
        <w:rPr>
          <w:rFonts w:ascii="Arial" w:eastAsia="Calibri" w:hAnsi="Arial" w:cs="Arial"/>
          <w:b/>
          <w:spacing w:val="-1"/>
          <w:sz w:val="17"/>
          <w:szCs w:val="17"/>
        </w:rPr>
        <w:t>Fundamento</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Las calificaciones del Estado de Querétaro reflejan su administración financiera satisfactoria, con adecuadas prácticas de planeación financiera, sus controles de gastos e ingresos, así como su prudente política de liquidez y deuda. Las calificaciones también reflejan la posición de liquidez fuerte del Estado en comparación con su servicio de deuda, así como su bajo nivel de deuda y de pasivos contingentes. Esperamos que el Estado mantenga un desempeño presupuestal promedio, el cual se basa en superávits operativos pequeños y resultados de gasto de inversión en general balanceados. Las calificaciones de Querétaro están limitadas por su bajo nivel de ingresos propios y de gasto de inversión que se traduce en una flexibilidad presupuestal débil. Además, el producto interno bruto (PIB) per cápita de Querétaro continúa siendo bajo en comparación con sus pares internacionales, lo que da como resultado una evaluación económica débil. Al igual que el resto de los estados mexicanos, Querétaro opera bajo un marco institucional</w:t>
      </w:r>
      <w:r w:rsidR="0020781E">
        <w:rPr>
          <w:rFonts w:ascii="Arial" w:eastAsia="Calibri" w:hAnsi="Arial" w:cs="Arial"/>
          <w:spacing w:val="-1"/>
          <w:sz w:val="17"/>
          <w:szCs w:val="17"/>
        </w:rPr>
        <w:t xml:space="preserve"> en evolución y desbalanceado.</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En línea con nuestras expectativas, la transición política no vulneró las finanzas del Estado, y esperamos que la actual administración financiera mantenga prudentes políticas financieras. A diferencia de las administraciones anteriores, la actual administración pudo reformar su ley de pensiones, en la que establece una edad mínima para el retiro, y el salario de la pensión ahora se basa en el salario promedio de los últimos cinco años de servicio y no en el último. El gobierno también reformó su ley para el manejo de los recursos públicos, que ayudará al Estado a implementar controles más eficientes a sus finanzas, así como a las finanzas de sus entidades relacionadas con el gobierno (ERGs) y de sus municipios. Por otro lado, la nueva ley federal de disciplina financiera podría ayudar a institucionalizar y mejorar la planeación financiera, controles de gastos y las políticas de deuda de Querétaro. Esperaríamos que la política de liquidez siga siendo prudente, con el objeto de mantener una posición alta de efectivo neto al final de cada</w:t>
      </w:r>
      <w:r w:rsidR="0020781E">
        <w:rPr>
          <w:rFonts w:ascii="Arial" w:eastAsia="Calibri" w:hAnsi="Arial" w:cs="Arial"/>
          <w:spacing w:val="-1"/>
          <w:sz w:val="17"/>
          <w:szCs w:val="17"/>
        </w:rPr>
        <w:t xml:space="preserve"> año fiscal durante 2016-2018.</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Esperaríamos que las Participaciones Federales continúen durante 2016-2018. Querétaro se compara favorablemente con la mayoría de los estados mexicanos en términos de crecimiento económico y de la población y en la eficiencia de recaudación fiscal local, que son tres variables para determinar la distribución de las Participaciones Federales a los estados. Complementado con los controles de gastos y una eficiente política de recaudación de impuestos, lo anterior derivaría en un superávit operativo promedio de alrededor de 4% de los ingresos operativos. Esperamos menores transferencias federales etiquetadas durante los próximos dos años; sin embargo, los superávits operativos deberían financiar la mayor parte del gasto de inversión estimada en 2,100 millones de pesos mexicanos (MXN), 6.7% del gasto total, lo que se traduciría en resultados generalmente balanceados después de gasto d</w:t>
      </w:r>
      <w:r w:rsidR="0020781E">
        <w:rPr>
          <w:rFonts w:ascii="Arial" w:eastAsia="Calibri" w:hAnsi="Arial" w:cs="Arial"/>
          <w:spacing w:val="-1"/>
          <w:sz w:val="17"/>
          <w:szCs w:val="17"/>
        </w:rPr>
        <w:t>e inversión durante 2016-2018.</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xml:space="preserve">Los resultados generalmente balanceados mantendrían el nivel de deuda con una tendencia a la baja. Esperamos que el nivel de endeudamiento de Querétaro se ubique por debajo de 3% de sus ingresos operativos al cierre de 2018. A marzo de 2016, el nivel de deuda del Estado era de MXN1,097 millones, que correspondía a un solo crédito de largo plazo. Dicho crédito está garantizado con 12% de las transferencias federales que recibe del gobierno federal. El perfil de largo plazo de la deuda ubicaría el servicio de deuda del Estado por debajo de 1% de sus ingresos operativos.  </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xml:space="preserve">La reciente reforma de pensiones de Querétaro mantendría el gasto de pensiones por debajo de 2% de sus ingresos operativos durante 2016-2018. Sin embargo, la ausencia de un fondo sostenible y el hecho de que los empleados no contribuyen al sistema podrían representar una limitante para las calificaciones en un plazo mayor a los 10 años.  </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xml:space="preserve">Querétaro tiene bajos pasivos contingentes. El más importante consiste en una línea de crédito revolvente indexada a la inflación para cubrir posibles déficits en el pago de un contrato de asociación público-privada de la Comisión Estatal de Aguas de Querétaro (CEAQ; mxA/Estable/--). El monto actual de la línea es de MXN72.4 millones y el Estado transfiere 8.8% de los fondos de sus Participaciones Federales a un fideicomiso que garantiza el pago de la línea de crédito revolvente. En total, Querétaro tiene 32 ERGs y el apoyo continuo que les brinda ya está incorporado en su desempeño presupuestal. En general, las ERGs de Querétaro muestran una posición de efectivo neto y resultados balaceados.  </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lastRenderedPageBreak/>
        <w:t>Estimamos que el producto interno bruto (PIB) per cápita de Querétaro alcanzó US11,950 en 2015, que es el sexto nivel más alto entre los estados mexicanos y superior al nivel nacional de US9,456. El menor PIB per cápita del Estado en comparación con el de 2014 de US13,302 se debe solamente a la depreciación del peso frente al dólar durante 2015. Sin embargo, la economía de Querétaro es significativamente más débil que la de sus pares internacionales como las comunidades autónomas de España con calificaciones en la categoría de ‘BBB’ con un PIB per cá</w:t>
      </w:r>
      <w:r w:rsidR="0020781E">
        <w:rPr>
          <w:rFonts w:ascii="Arial" w:eastAsia="Calibri" w:hAnsi="Arial" w:cs="Arial"/>
          <w:spacing w:val="-1"/>
          <w:sz w:val="17"/>
          <w:szCs w:val="17"/>
        </w:rPr>
        <w:t>pita en promedio de US24,650.</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xml:space="preserve">El Sistema Nacional de Coordinación Fiscal (el régimen fiscal mediante el cual los Estados y Municipios mexicanos reciben la mayor parte de sus ingresos del gobierno federal) y la falta de voluntad para incrementar o recaudar los impuestos existentes explican el bajo nivel de ingresos propios de los GLRs mexicanos. Esperamos que los ingresos propios de Querétaro se ubiquen por debajo de 20% de sus ingresos operativos para 2015-2017. </w:t>
      </w:r>
    </w:p>
    <w:p w:rsidR="0010523D"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Al igual que sus pares nacionales, brasileños y colombianos, el Estado de Querétaro opera bajo un marco institucional en evolución y desbalanceado. De acuerdo con nuestros criterios, los factores del sistema institucional en el que operan los estados mexicanos tales como la previsibilidad, el balance general de ingresos y gastos, la transparencia, rendición de cuentas y respaldo del sistema reflejan que existe margen para una mejora adicional, y actualmente representan una limitante de la calificación de los estados mexicanos.</w:t>
      </w:r>
    </w:p>
    <w:p w:rsidR="00916753" w:rsidRPr="0020781E" w:rsidRDefault="00916753" w:rsidP="00916753">
      <w:pPr>
        <w:spacing w:before="120" w:after="120" w:line="240" w:lineRule="exact"/>
        <w:jc w:val="both"/>
        <w:rPr>
          <w:rFonts w:ascii="Arial" w:eastAsia="Calibri" w:hAnsi="Arial" w:cs="Arial"/>
          <w:i/>
          <w:spacing w:val="-1"/>
          <w:sz w:val="17"/>
          <w:szCs w:val="17"/>
        </w:rPr>
      </w:pPr>
      <w:r w:rsidRPr="0020781E">
        <w:rPr>
          <w:rFonts w:ascii="Arial" w:eastAsia="Calibri" w:hAnsi="Arial" w:cs="Arial"/>
          <w:i/>
          <w:spacing w:val="-1"/>
          <w:sz w:val="17"/>
          <w:szCs w:val="17"/>
        </w:rPr>
        <w:t xml:space="preserve">Liquidez </w:t>
      </w:r>
    </w:p>
    <w:p w:rsidR="00916753" w:rsidRP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 xml:space="preserve">La liquidez del Estado es fuerte, ya que la posición de efectivo de libre disposición en 2015 menos algunas pérdidas de flujo de efectivo esperadas en 2016 debería cubrir 10 veces (x) las obligaciones del servicio de deuda en el mismo año. El indicador sigue siendo excepcional y se mantiene en línea con sus pares nacionales e internacionales con la misma calificación. Además, durante los últimos años, el efectivo total de Querétaro ha sido de al menos 3x las cuentas por pagar. Ya que no existen planes de contraer nueva deuda, un mayor nivel de gasto de inversión esperado para 2016-2018 sería financiado solo con liquidez interna, lo que consideramos representa grandes necesidades de financiamiento.  </w:t>
      </w:r>
    </w:p>
    <w:p w:rsidR="00916753" w:rsidRDefault="00916753" w:rsidP="00916753">
      <w:pPr>
        <w:spacing w:before="120" w:after="120" w:line="240" w:lineRule="exact"/>
        <w:jc w:val="both"/>
        <w:rPr>
          <w:rFonts w:ascii="Arial" w:eastAsia="Calibri" w:hAnsi="Arial" w:cs="Arial"/>
          <w:spacing w:val="-1"/>
          <w:sz w:val="17"/>
          <w:szCs w:val="17"/>
        </w:rPr>
      </w:pPr>
      <w:r w:rsidRPr="00916753">
        <w:rPr>
          <w:rFonts w:ascii="Arial" w:eastAsia="Calibri" w:hAnsi="Arial" w:cs="Arial"/>
          <w:spacing w:val="-1"/>
          <w:sz w:val="17"/>
          <w:szCs w:val="17"/>
        </w:rPr>
        <w:t>Asimismo, consideramos que el acceso de Querétaro a liquidez externa es satisfactorio dada la fuerte y diversificada cartera de bancos locales, que se refleja en la clasificación de ‘4’ del Análisis de Riesgos de la Industria Bancaria por País (BICRA, por sus siglas en inglés) para México.</w:t>
      </w:r>
    </w:p>
    <w:p w:rsidR="00FD4869" w:rsidRDefault="00FD4869" w:rsidP="00916753">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6F3052" w:rsidRDefault="006F3052" w:rsidP="00A67440">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Durante el presente </w:t>
      </w:r>
      <w:r>
        <w:rPr>
          <w:rFonts w:ascii="Arial" w:eastAsia="Calibri" w:hAnsi="Arial" w:cs="Arial"/>
          <w:spacing w:val="-1"/>
          <w:sz w:val="17"/>
          <w:szCs w:val="17"/>
        </w:rPr>
        <w:t>ejercicio fiscal</w:t>
      </w:r>
      <w:r w:rsidRPr="006F3052">
        <w:rPr>
          <w:rFonts w:ascii="Arial" w:eastAsia="Calibri" w:hAnsi="Arial" w:cs="Arial"/>
          <w:spacing w:val="-1"/>
          <w:sz w:val="17"/>
          <w:szCs w:val="17"/>
        </w:rPr>
        <w:t>, se han atendido diversas observaciones y recomendaciones emitidas por parte de entidades fiscalizadoras, lo que ha dado como resultado, una mejora en los procesos de control interno, alguna de ellas se han plasmado en diversos instrumentos administrativos, como en Manuales de Procedimientos, y en el Manual de Contabilidad Gubernamental del Poder Ejecutivo del Estado de Querétaro, con el fin de alcanzar un mejor desempeño y trasparencia en las actividades gubernamentales.</w:t>
      </w:r>
    </w:p>
    <w:p w:rsidR="00E44E54" w:rsidRDefault="00E44E54"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revisará y se depurará la cuenta de Otros Activos no Circulantes.</w:t>
      </w:r>
    </w:p>
    <w:p w:rsidR="00AB4964" w:rsidRDefault="0077144A" w:rsidP="00FD486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Adicionalmente se está llevando a cabo una revisión profunda a la base de datos a efecto de analizar y determinar áreas de oportunidad y mejoras.</w:t>
      </w:r>
    </w:p>
    <w:p w:rsidR="00FD4869" w:rsidRDefault="00FD4869" w:rsidP="00FD4869">
      <w:pPr>
        <w:spacing w:before="120" w:after="120" w:line="240" w:lineRule="exact"/>
        <w:jc w:val="both"/>
        <w:rPr>
          <w:rFonts w:ascii="Arial" w:eastAsia="Calibri" w:hAnsi="Arial" w:cs="Arial"/>
          <w:b/>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8053D2" w:rsidRDefault="006F3052" w:rsidP="00A67440">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Para el presente periodo contable que se reporta, no existe información referente a segmentos por revelar.</w:t>
      </w:r>
    </w:p>
    <w:p w:rsidR="00FD4869" w:rsidRPr="00A67440" w:rsidRDefault="00FD4869"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6F3052" w:rsidRDefault="00E2041A"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Cuenta Pública del P</w:t>
      </w:r>
      <w:r w:rsidR="006F3052">
        <w:rPr>
          <w:rFonts w:ascii="Arial" w:eastAsia="Calibri" w:hAnsi="Arial" w:cs="Arial"/>
          <w:spacing w:val="-1"/>
          <w:sz w:val="17"/>
          <w:szCs w:val="17"/>
        </w:rPr>
        <w:t>oder Ejecutivo del Estado de Querétaro</w:t>
      </w:r>
      <w:r w:rsidR="006F3052" w:rsidRPr="006F3052">
        <w:rPr>
          <w:rFonts w:ascii="Arial" w:eastAsia="Calibri" w:hAnsi="Arial" w:cs="Arial"/>
          <w:spacing w:val="-1"/>
          <w:sz w:val="17"/>
          <w:szCs w:val="17"/>
        </w:rPr>
        <w:t xml:space="preserve"> que se reporta, </w:t>
      </w:r>
      <w:r>
        <w:rPr>
          <w:rFonts w:ascii="Arial" w:eastAsia="Calibri" w:hAnsi="Arial" w:cs="Arial"/>
          <w:spacing w:val="-1"/>
          <w:sz w:val="17"/>
          <w:szCs w:val="17"/>
        </w:rPr>
        <w:t>presenta saldos contables y presupuestarios al</w:t>
      </w:r>
      <w:r w:rsidR="006F3052">
        <w:rPr>
          <w:rFonts w:ascii="Arial" w:eastAsia="Calibri" w:hAnsi="Arial" w:cs="Arial"/>
          <w:spacing w:val="-1"/>
          <w:sz w:val="17"/>
          <w:szCs w:val="17"/>
        </w:rPr>
        <w:t xml:space="preserve"> </w:t>
      </w:r>
      <w:r w:rsidR="001E5A70">
        <w:rPr>
          <w:rFonts w:ascii="Arial" w:eastAsia="Calibri" w:hAnsi="Arial" w:cs="Arial"/>
          <w:spacing w:val="-1"/>
          <w:sz w:val="17"/>
          <w:szCs w:val="17"/>
        </w:rPr>
        <w:t>31 de diciembre del 2016</w:t>
      </w:r>
      <w:r w:rsidR="006F3052">
        <w:rPr>
          <w:rFonts w:ascii="Arial" w:eastAsia="Calibri" w:hAnsi="Arial" w:cs="Arial"/>
          <w:spacing w:val="-1"/>
          <w:sz w:val="17"/>
          <w:szCs w:val="17"/>
        </w:rPr>
        <w:t>.</w:t>
      </w:r>
    </w:p>
    <w:p w:rsidR="005304C7" w:rsidRDefault="005304C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Durante el ejercicio 2017, se continuará analizando y depurando las cuentas de activos.</w:t>
      </w:r>
    </w:p>
    <w:p w:rsidR="005304C7" w:rsidRDefault="005304C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En el ejercicio 2017 la Secretaría de la Cultura se incorpora a la estructura orgánica del Poder Ejecutivo del Estado de Querétaro.</w:t>
      </w:r>
    </w:p>
    <w:p w:rsidR="005304C7" w:rsidRDefault="005304C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Asimismo es relevante mencionar la implementación del Sistema Estatal</w:t>
      </w:r>
      <w:r w:rsidR="00F94F3E">
        <w:rPr>
          <w:rFonts w:ascii="Arial" w:eastAsia="Calibri" w:hAnsi="Arial" w:cs="Arial"/>
          <w:spacing w:val="-1"/>
          <w:sz w:val="17"/>
          <w:szCs w:val="17"/>
        </w:rPr>
        <w:t xml:space="preserve"> Anticorrupción, en el transcurso del ejercicio fiscal 2017.</w:t>
      </w:r>
    </w:p>
    <w:p w:rsidR="00E44E54" w:rsidRPr="00E44E54" w:rsidRDefault="00E44E54" w:rsidP="00E44E54">
      <w:pPr>
        <w:spacing w:before="120" w:after="120" w:line="240" w:lineRule="exact"/>
        <w:jc w:val="both"/>
        <w:rPr>
          <w:rFonts w:ascii="Arial" w:eastAsia="Calibri" w:hAnsi="Arial" w:cs="Arial"/>
          <w:spacing w:val="-1"/>
          <w:sz w:val="17"/>
          <w:szCs w:val="17"/>
        </w:rPr>
      </w:pPr>
      <w:r w:rsidRPr="00E44E54">
        <w:rPr>
          <w:rFonts w:ascii="Arial" w:eastAsia="Calibri" w:hAnsi="Arial" w:cs="Arial"/>
          <w:spacing w:val="-1"/>
          <w:sz w:val="17"/>
          <w:szCs w:val="17"/>
        </w:rPr>
        <w:t>Es preciso hacer mención que un riesgo relevante en la recaudación de los ingresos propios como en la radicación de recurso federal al estado es sin duda el tema del alza en el precio del combustible, pues esto podría repercutir directamente en la actividad económica del estado.</w:t>
      </w:r>
    </w:p>
    <w:p w:rsidR="00E44E54" w:rsidRPr="00E44E54" w:rsidRDefault="00E44E54" w:rsidP="00E44E54">
      <w:pPr>
        <w:spacing w:before="120" w:after="120" w:line="240" w:lineRule="exact"/>
        <w:jc w:val="both"/>
        <w:rPr>
          <w:rFonts w:ascii="Arial" w:eastAsia="Calibri" w:hAnsi="Arial" w:cs="Arial"/>
          <w:spacing w:val="-1"/>
          <w:sz w:val="17"/>
          <w:szCs w:val="17"/>
        </w:rPr>
      </w:pPr>
      <w:r w:rsidRPr="00E44E54">
        <w:rPr>
          <w:rFonts w:ascii="Arial" w:eastAsia="Calibri" w:hAnsi="Arial" w:cs="Arial"/>
          <w:spacing w:val="-1"/>
          <w:sz w:val="17"/>
          <w:szCs w:val="17"/>
        </w:rPr>
        <w:t>Por otro lado, la presión que se ejerce por parte de América del Norte con la renegociación o posible modificación al Tratado de Libre Comercio con América Latina representa una alerta en el tema fiscal y financiero para el país, que indudablemente afectaría al Estado de Querétaro en la recepción de recurso federal.</w:t>
      </w:r>
    </w:p>
    <w:p w:rsidR="00E44E54" w:rsidRDefault="00E44E54" w:rsidP="00E44E54">
      <w:pPr>
        <w:spacing w:before="120" w:after="120" w:line="240" w:lineRule="exact"/>
        <w:jc w:val="both"/>
        <w:rPr>
          <w:rFonts w:ascii="Arial" w:eastAsia="Calibri" w:hAnsi="Arial" w:cs="Arial"/>
          <w:spacing w:val="-1"/>
          <w:sz w:val="17"/>
          <w:szCs w:val="17"/>
        </w:rPr>
      </w:pPr>
      <w:r w:rsidRPr="00E44E54">
        <w:rPr>
          <w:rFonts w:ascii="Arial" w:eastAsia="Calibri" w:hAnsi="Arial" w:cs="Arial"/>
          <w:spacing w:val="-1"/>
          <w:sz w:val="17"/>
          <w:szCs w:val="17"/>
        </w:rPr>
        <w:t>Aunado a lo anterior, es preciso hacer mención sobre la entrada en vigor de la Ley de Disciplina Financiera de las Entidades Federativas y Municipios pues la revisión y control de las aportaciones tendrá un riesgo relevante que impactará directamente en los estados.</w:t>
      </w:r>
    </w:p>
    <w:p w:rsidR="00FD4869" w:rsidRDefault="00FD4869" w:rsidP="00E44E54">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6F3052" w:rsidRDefault="006F3052" w:rsidP="00A67440">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Para </w:t>
      </w:r>
      <w:r w:rsidR="002732AD">
        <w:rPr>
          <w:rFonts w:ascii="Arial" w:eastAsia="Calibri" w:hAnsi="Arial" w:cs="Arial"/>
          <w:spacing w:val="-1"/>
          <w:sz w:val="17"/>
          <w:szCs w:val="17"/>
        </w:rPr>
        <w:t>l</w:t>
      </w:r>
      <w:r w:rsidR="008C2B56">
        <w:rPr>
          <w:rFonts w:ascii="Arial" w:eastAsia="Calibri" w:hAnsi="Arial" w:cs="Arial"/>
          <w:spacing w:val="-1"/>
          <w:sz w:val="17"/>
          <w:szCs w:val="17"/>
        </w:rPr>
        <w:t>a</w:t>
      </w:r>
      <w:r w:rsidR="002732AD">
        <w:rPr>
          <w:rFonts w:ascii="Arial" w:eastAsia="Calibri" w:hAnsi="Arial" w:cs="Arial"/>
          <w:spacing w:val="-1"/>
          <w:sz w:val="17"/>
          <w:szCs w:val="17"/>
        </w:rPr>
        <w:t xml:space="preserve"> </w:t>
      </w:r>
      <w:r w:rsidRPr="006F3052">
        <w:rPr>
          <w:rFonts w:ascii="Arial" w:eastAsia="Calibri" w:hAnsi="Arial" w:cs="Arial"/>
          <w:spacing w:val="-1"/>
          <w:sz w:val="17"/>
          <w:szCs w:val="17"/>
        </w:rPr>
        <w:t xml:space="preserve">presente </w:t>
      </w:r>
      <w:r w:rsidR="008C2B56">
        <w:rPr>
          <w:rFonts w:ascii="Arial" w:eastAsia="Calibri" w:hAnsi="Arial" w:cs="Arial"/>
          <w:spacing w:val="-1"/>
          <w:sz w:val="17"/>
          <w:szCs w:val="17"/>
        </w:rPr>
        <w:t>Cuenta Pública</w:t>
      </w:r>
      <w:r w:rsidR="00005112">
        <w:rPr>
          <w:rFonts w:ascii="Arial" w:eastAsia="Calibri" w:hAnsi="Arial" w:cs="Arial"/>
          <w:spacing w:val="-1"/>
          <w:sz w:val="17"/>
          <w:szCs w:val="17"/>
        </w:rPr>
        <w:t xml:space="preserve"> </w:t>
      </w:r>
      <w:r w:rsidR="002732AD">
        <w:rPr>
          <w:rFonts w:ascii="Arial" w:eastAsia="Calibri" w:hAnsi="Arial" w:cs="Arial"/>
          <w:spacing w:val="-1"/>
          <w:sz w:val="17"/>
          <w:szCs w:val="17"/>
        </w:rPr>
        <w:t xml:space="preserve">al </w:t>
      </w:r>
      <w:r w:rsidR="001E5A70">
        <w:rPr>
          <w:rFonts w:ascii="Arial" w:eastAsia="Calibri" w:hAnsi="Arial" w:cs="Arial"/>
          <w:spacing w:val="-1"/>
          <w:sz w:val="17"/>
          <w:szCs w:val="17"/>
        </w:rPr>
        <w:t>31 de diciembre del 2016</w:t>
      </w:r>
      <w:r w:rsidRPr="006F3052">
        <w:rPr>
          <w:rFonts w:ascii="Arial" w:eastAsia="Calibri" w:hAnsi="Arial" w:cs="Arial"/>
          <w:spacing w:val="-1"/>
          <w:sz w:val="17"/>
          <w:szCs w:val="17"/>
        </w:rPr>
        <w:t>, no existen partes relacionadas que pudieran ejercer influencia significativa sobre la toma de decisiones financieras y operativas.</w:t>
      </w:r>
    </w:p>
    <w:p w:rsidR="00FC09FB" w:rsidRDefault="00FC09FB" w:rsidP="00A67440">
      <w:pPr>
        <w:spacing w:before="120" w:after="120" w:line="240" w:lineRule="exact"/>
        <w:jc w:val="both"/>
        <w:rPr>
          <w:rFonts w:ascii="Arial" w:eastAsia="Calibri" w:hAnsi="Arial" w:cs="Arial"/>
          <w:spacing w:val="-1"/>
          <w:sz w:val="17"/>
          <w:szCs w:val="17"/>
        </w:rPr>
      </w:pPr>
    </w:p>
    <w:p w:rsidR="00FC09FB" w:rsidRDefault="00FC09FB" w:rsidP="00A67440">
      <w:pPr>
        <w:spacing w:before="120" w:after="120" w:line="240" w:lineRule="exact"/>
        <w:jc w:val="both"/>
        <w:rPr>
          <w:rFonts w:ascii="Arial" w:eastAsia="Calibri" w:hAnsi="Arial" w:cs="Arial"/>
          <w:spacing w:val="-1"/>
          <w:sz w:val="17"/>
          <w:szCs w:val="17"/>
        </w:rPr>
      </w:pPr>
    </w:p>
    <w:p w:rsidR="00F93ED9" w:rsidRDefault="00F93ED9" w:rsidP="00A67440">
      <w:pPr>
        <w:spacing w:before="120" w:after="120" w:line="240" w:lineRule="exact"/>
        <w:jc w:val="both"/>
        <w:rPr>
          <w:rFonts w:ascii="Arial" w:eastAsia="Calibri" w:hAnsi="Arial" w:cs="Arial"/>
          <w:spacing w:val="-1"/>
          <w:sz w:val="17"/>
          <w:szCs w:val="17"/>
        </w:rPr>
      </w:pPr>
    </w:p>
    <w:p w:rsidR="00F93ED9" w:rsidRDefault="00F93ED9" w:rsidP="00A67440">
      <w:pPr>
        <w:spacing w:before="120" w:after="120" w:line="240" w:lineRule="exact"/>
        <w:jc w:val="both"/>
        <w:rPr>
          <w:rFonts w:ascii="Arial" w:eastAsia="Calibri" w:hAnsi="Arial" w:cs="Arial"/>
          <w:spacing w:val="-1"/>
          <w:sz w:val="17"/>
          <w:szCs w:val="17"/>
        </w:rPr>
      </w:pPr>
    </w:p>
    <w:p w:rsidR="00FC09FB" w:rsidRDefault="00FC09FB" w:rsidP="00A67440">
      <w:pPr>
        <w:spacing w:before="120" w:after="120" w:line="240" w:lineRule="exact"/>
        <w:jc w:val="both"/>
        <w:rPr>
          <w:rFonts w:ascii="Arial" w:eastAsia="Calibri" w:hAnsi="Arial" w:cs="Arial"/>
          <w:spacing w:val="-1"/>
          <w:sz w:val="17"/>
          <w:szCs w:val="17"/>
        </w:rPr>
      </w:pPr>
    </w:p>
    <w:tbl>
      <w:tblPr>
        <w:tblW w:w="4943" w:type="pct"/>
        <w:jc w:val="center"/>
        <w:tblCellMar>
          <w:left w:w="70" w:type="dxa"/>
          <w:right w:w="70" w:type="dxa"/>
        </w:tblCellMar>
        <w:tblLook w:val="04A0" w:firstRow="1" w:lastRow="0" w:firstColumn="1" w:lastColumn="0" w:noHBand="0" w:noVBand="1"/>
      </w:tblPr>
      <w:tblGrid>
        <w:gridCol w:w="153"/>
        <w:gridCol w:w="4515"/>
        <w:gridCol w:w="4236"/>
        <w:gridCol w:w="4233"/>
      </w:tblGrid>
      <w:tr w:rsidR="00FC09FB" w:rsidRPr="002D70DA" w:rsidTr="00FC09FB">
        <w:trPr>
          <w:trHeight w:val="499"/>
          <w:jc w:val="center"/>
        </w:trPr>
        <w:tc>
          <w:tcPr>
            <w:tcW w:w="58" w:type="pct"/>
            <w:tcBorders>
              <w:top w:val="nil"/>
              <w:left w:val="nil"/>
              <w:bottom w:val="nil"/>
              <w:right w:val="nil"/>
            </w:tcBorders>
            <w:shd w:val="clear" w:color="000000" w:fill="FFFFFF"/>
            <w:noWrap/>
            <w:vAlign w:val="bottom"/>
          </w:tcPr>
          <w:p w:rsidR="00FC09FB" w:rsidRPr="002D70DA" w:rsidRDefault="00FC09FB">
            <w:pPr>
              <w:rPr>
                <w:rFonts w:ascii="Arial" w:hAnsi="Arial" w:cs="Arial"/>
                <w:color w:val="000000"/>
                <w:sz w:val="17"/>
                <w:szCs w:val="17"/>
              </w:rPr>
            </w:pPr>
          </w:p>
        </w:tc>
        <w:tc>
          <w:tcPr>
            <w:tcW w:w="1718" w:type="pct"/>
            <w:tcBorders>
              <w:top w:val="nil"/>
              <w:left w:val="nil"/>
              <w:bottom w:val="single" w:sz="4" w:space="0" w:color="auto"/>
              <w:right w:val="nil"/>
            </w:tcBorders>
            <w:shd w:val="clear" w:color="000000" w:fill="FFFFFF"/>
            <w:noWrap/>
            <w:vAlign w:val="center"/>
            <w:hideMark/>
          </w:tcPr>
          <w:p w:rsidR="00FC09FB" w:rsidRPr="002D70DA" w:rsidRDefault="00FC09FB">
            <w:pPr>
              <w:jc w:val="center"/>
              <w:rPr>
                <w:rFonts w:ascii="Arial" w:hAnsi="Arial" w:cs="Arial"/>
                <w:sz w:val="17"/>
                <w:szCs w:val="17"/>
              </w:rPr>
            </w:pPr>
          </w:p>
        </w:tc>
        <w:tc>
          <w:tcPr>
            <w:tcW w:w="1612" w:type="pct"/>
            <w:tcBorders>
              <w:top w:val="nil"/>
              <w:left w:val="nil"/>
              <w:right w:val="nil"/>
            </w:tcBorders>
            <w:shd w:val="clear" w:color="000000" w:fill="FFFFFF"/>
          </w:tcPr>
          <w:p w:rsidR="00FC09FB" w:rsidRPr="002D70DA" w:rsidRDefault="00FC09FB">
            <w:pPr>
              <w:jc w:val="center"/>
              <w:rPr>
                <w:rFonts w:ascii="Arial" w:hAnsi="Arial" w:cs="Arial"/>
                <w:sz w:val="17"/>
                <w:szCs w:val="17"/>
              </w:rPr>
            </w:pPr>
          </w:p>
        </w:tc>
        <w:tc>
          <w:tcPr>
            <w:tcW w:w="1611" w:type="pct"/>
            <w:tcBorders>
              <w:top w:val="nil"/>
              <w:left w:val="nil"/>
              <w:bottom w:val="single" w:sz="4" w:space="0" w:color="auto"/>
              <w:right w:val="nil"/>
            </w:tcBorders>
            <w:shd w:val="clear" w:color="000000" w:fill="FFFFFF"/>
          </w:tcPr>
          <w:p w:rsidR="00FC09FB" w:rsidRPr="002D70DA" w:rsidRDefault="00FC09FB">
            <w:pPr>
              <w:jc w:val="center"/>
              <w:rPr>
                <w:rFonts w:ascii="Arial" w:hAnsi="Arial" w:cs="Arial"/>
                <w:sz w:val="17"/>
                <w:szCs w:val="17"/>
              </w:rPr>
            </w:pPr>
          </w:p>
        </w:tc>
      </w:tr>
      <w:tr w:rsidR="00FC09FB" w:rsidRPr="002D70DA" w:rsidTr="00FC09FB">
        <w:trPr>
          <w:trHeight w:val="300"/>
          <w:jc w:val="center"/>
        </w:trPr>
        <w:tc>
          <w:tcPr>
            <w:tcW w:w="58" w:type="pct"/>
            <w:tcBorders>
              <w:top w:val="nil"/>
              <w:left w:val="nil"/>
              <w:bottom w:val="nil"/>
              <w:right w:val="nil"/>
            </w:tcBorders>
            <w:shd w:val="clear" w:color="000000" w:fill="FFFFFF"/>
            <w:noWrap/>
            <w:vAlign w:val="bottom"/>
          </w:tcPr>
          <w:p w:rsidR="00FC09FB" w:rsidRPr="002D70DA" w:rsidRDefault="00FC09FB" w:rsidP="00FC09FB">
            <w:pPr>
              <w:rPr>
                <w:rFonts w:ascii="Arial" w:hAnsi="Arial" w:cs="Arial"/>
                <w:color w:val="000000"/>
                <w:sz w:val="17"/>
                <w:szCs w:val="17"/>
              </w:rPr>
            </w:pPr>
          </w:p>
        </w:tc>
        <w:tc>
          <w:tcPr>
            <w:tcW w:w="1718" w:type="pct"/>
            <w:tcBorders>
              <w:top w:val="single" w:sz="4" w:space="0" w:color="auto"/>
              <w:left w:val="nil"/>
              <w:bottom w:val="nil"/>
              <w:right w:val="nil"/>
            </w:tcBorders>
            <w:shd w:val="clear" w:color="000000" w:fill="FFFFFF"/>
            <w:noWrap/>
            <w:vAlign w:val="bottom"/>
            <w:hideMark/>
          </w:tcPr>
          <w:p w:rsidR="00FC09FB" w:rsidRPr="002D70DA" w:rsidRDefault="00FC09FB" w:rsidP="00FC09FB">
            <w:pPr>
              <w:jc w:val="center"/>
              <w:rPr>
                <w:rFonts w:ascii="Arial" w:hAnsi="Arial" w:cs="Arial"/>
                <w:color w:val="000000"/>
                <w:sz w:val="17"/>
                <w:szCs w:val="17"/>
              </w:rPr>
            </w:pPr>
            <w:r>
              <w:rPr>
                <w:rFonts w:ascii="Arial" w:hAnsi="Arial" w:cs="Arial"/>
                <w:color w:val="000000"/>
                <w:sz w:val="17"/>
                <w:szCs w:val="17"/>
              </w:rPr>
              <w:t>Ing. Juan Manuel Alcocer Gamba</w:t>
            </w:r>
          </w:p>
        </w:tc>
        <w:tc>
          <w:tcPr>
            <w:tcW w:w="1612" w:type="pct"/>
            <w:tcBorders>
              <w:left w:val="nil"/>
              <w:bottom w:val="nil"/>
              <w:right w:val="nil"/>
            </w:tcBorders>
            <w:shd w:val="clear" w:color="000000" w:fill="FFFFFF"/>
          </w:tcPr>
          <w:p w:rsidR="00FC09FB" w:rsidRDefault="00FC09FB" w:rsidP="00FC09FB">
            <w:pPr>
              <w:jc w:val="center"/>
              <w:rPr>
                <w:rFonts w:ascii="Arial" w:hAnsi="Arial" w:cs="Arial"/>
                <w:color w:val="000000"/>
                <w:sz w:val="17"/>
                <w:szCs w:val="17"/>
              </w:rPr>
            </w:pPr>
          </w:p>
        </w:tc>
        <w:tc>
          <w:tcPr>
            <w:tcW w:w="1611" w:type="pct"/>
            <w:tcBorders>
              <w:top w:val="single" w:sz="4" w:space="0" w:color="auto"/>
              <w:left w:val="nil"/>
              <w:bottom w:val="nil"/>
              <w:right w:val="nil"/>
            </w:tcBorders>
            <w:shd w:val="clear" w:color="000000" w:fill="FFFFFF"/>
            <w:vAlign w:val="bottom"/>
          </w:tcPr>
          <w:p w:rsidR="00FC09FB" w:rsidRPr="002D70DA" w:rsidRDefault="00FC09FB" w:rsidP="00FC09FB">
            <w:pPr>
              <w:jc w:val="center"/>
              <w:rPr>
                <w:rFonts w:ascii="Arial" w:hAnsi="Arial" w:cs="Arial"/>
                <w:color w:val="000000"/>
                <w:sz w:val="17"/>
                <w:szCs w:val="17"/>
              </w:rPr>
            </w:pPr>
            <w:r>
              <w:rPr>
                <w:rFonts w:ascii="Arial" w:hAnsi="Arial" w:cs="Arial"/>
                <w:color w:val="000000"/>
                <w:sz w:val="17"/>
                <w:szCs w:val="17"/>
              </w:rPr>
              <w:t>L.C.P.F. Carlos Alfredo Fernández Velásquez</w:t>
            </w:r>
          </w:p>
        </w:tc>
      </w:tr>
      <w:tr w:rsidR="00FC09FB" w:rsidRPr="002D70DA" w:rsidTr="00FC09FB">
        <w:trPr>
          <w:trHeight w:val="300"/>
          <w:jc w:val="center"/>
        </w:trPr>
        <w:tc>
          <w:tcPr>
            <w:tcW w:w="58" w:type="pct"/>
            <w:tcBorders>
              <w:top w:val="nil"/>
              <w:left w:val="nil"/>
              <w:bottom w:val="nil"/>
              <w:right w:val="nil"/>
            </w:tcBorders>
            <w:shd w:val="clear" w:color="000000" w:fill="FFFFFF"/>
            <w:noWrap/>
            <w:vAlign w:val="bottom"/>
          </w:tcPr>
          <w:p w:rsidR="00FC09FB" w:rsidRPr="002D70DA" w:rsidRDefault="00FC09FB" w:rsidP="00FC09FB">
            <w:pPr>
              <w:rPr>
                <w:rFonts w:ascii="Arial" w:hAnsi="Arial" w:cs="Arial"/>
                <w:color w:val="000000"/>
                <w:sz w:val="17"/>
                <w:szCs w:val="17"/>
              </w:rPr>
            </w:pPr>
          </w:p>
        </w:tc>
        <w:tc>
          <w:tcPr>
            <w:tcW w:w="1718" w:type="pct"/>
            <w:tcBorders>
              <w:top w:val="nil"/>
              <w:left w:val="nil"/>
              <w:bottom w:val="nil"/>
              <w:right w:val="nil"/>
            </w:tcBorders>
            <w:shd w:val="clear" w:color="000000" w:fill="FFFFFF"/>
            <w:hideMark/>
          </w:tcPr>
          <w:p w:rsidR="00FC09FB" w:rsidRPr="002D70DA" w:rsidRDefault="00FC09FB" w:rsidP="00FC09FB">
            <w:pPr>
              <w:jc w:val="center"/>
              <w:rPr>
                <w:rFonts w:ascii="Arial" w:hAnsi="Arial" w:cs="Arial"/>
                <w:sz w:val="17"/>
                <w:szCs w:val="17"/>
              </w:rPr>
            </w:pPr>
            <w:r>
              <w:rPr>
                <w:rFonts w:ascii="Arial" w:hAnsi="Arial" w:cs="Arial"/>
                <w:sz w:val="17"/>
                <w:szCs w:val="17"/>
              </w:rPr>
              <w:t>Secretario de Planeación y Finanzas</w:t>
            </w:r>
          </w:p>
        </w:tc>
        <w:tc>
          <w:tcPr>
            <w:tcW w:w="1612" w:type="pct"/>
            <w:tcBorders>
              <w:top w:val="nil"/>
              <w:left w:val="nil"/>
              <w:bottom w:val="nil"/>
              <w:right w:val="nil"/>
            </w:tcBorders>
            <w:shd w:val="clear" w:color="000000" w:fill="FFFFFF"/>
          </w:tcPr>
          <w:p w:rsidR="00FC09FB" w:rsidRDefault="00FC09FB" w:rsidP="00FC09FB">
            <w:pPr>
              <w:jc w:val="center"/>
              <w:rPr>
                <w:rFonts w:ascii="Arial" w:hAnsi="Arial" w:cs="Arial"/>
                <w:sz w:val="17"/>
                <w:szCs w:val="17"/>
              </w:rPr>
            </w:pPr>
          </w:p>
        </w:tc>
        <w:tc>
          <w:tcPr>
            <w:tcW w:w="1611" w:type="pct"/>
            <w:tcBorders>
              <w:top w:val="nil"/>
              <w:left w:val="nil"/>
              <w:bottom w:val="nil"/>
              <w:right w:val="nil"/>
            </w:tcBorders>
            <w:shd w:val="clear" w:color="000000" w:fill="FFFFFF"/>
          </w:tcPr>
          <w:p w:rsidR="00FC09FB" w:rsidRPr="002D70DA" w:rsidRDefault="00FC09FB" w:rsidP="00FC09FB">
            <w:pPr>
              <w:jc w:val="center"/>
              <w:rPr>
                <w:rFonts w:ascii="Arial" w:hAnsi="Arial" w:cs="Arial"/>
                <w:sz w:val="17"/>
                <w:szCs w:val="17"/>
              </w:rPr>
            </w:pPr>
            <w:r>
              <w:rPr>
                <w:rFonts w:ascii="Arial" w:hAnsi="Arial" w:cs="Arial"/>
                <w:sz w:val="17"/>
                <w:szCs w:val="17"/>
              </w:rPr>
              <w:t>Director de Contabilidad</w:t>
            </w:r>
          </w:p>
        </w:tc>
      </w:tr>
    </w:tbl>
    <w:p w:rsidR="0037658D" w:rsidRDefault="0037658D" w:rsidP="00E2041A">
      <w:pPr>
        <w:rPr>
          <w:rFonts w:ascii="Arial" w:hAnsi="Arial" w:cs="Arial"/>
          <w:b/>
          <w:sz w:val="17"/>
          <w:szCs w:val="17"/>
        </w:rPr>
      </w:pPr>
    </w:p>
    <w:p w:rsidR="00FC09FB" w:rsidRDefault="00FC09FB" w:rsidP="00E2041A">
      <w:pPr>
        <w:rPr>
          <w:rFonts w:ascii="Arial" w:hAnsi="Arial" w:cs="Arial"/>
          <w:sz w:val="17"/>
          <w:szCs w:val="17"/>
        </w:rPr>
      </w:pPr>
    </w:p>
    <w:p w:rsidR="00F93ED9" w:rsidRDefault="00F93ED9" w:rsidP="00E2041A">
      <w:pPr>
        <w:rPr>
          <w:rFonts w:ascii="Arial" w:hAnsi="Arial" w:cs="Arial"/>
          <w:sz w:val="17"/>
          <w:szCs w:val="17"/>
        </w:rPr>
      </w:pPr>
    </w:p>
    <w:p w:rsidR="00F93ED9" w:rsidRDefault="00F93ED9" w:rsidP="00E2041A">
      <w:pPr>
        <w:rPr>
          <w:rFonts w:ascii="Arial" w:hAnsi="Arial" w:cs="Arial"/>
          <w:sz w:val="17"/>
          <w:szCs w:val="17"/>
        </w:rPr>
      </w:pPr>
    </w:p>
    <w:p w:rsidR="00FC09FB" w:rsidRDefault="00FC09FB" w:rsidP="00E2041A">
      <w:pPr>
        <w:rPr>
          <w:rFonts w:ascii="Arial" w:hAnsi="Arial" w:cs="Arial"/>
          <w:sz w:val="17"/>
          <w:szCs w:val="17"/>
        </w:rPr>
      </w:pPr>
    </w:p>
    <w:p w:rsidR="00FC09FB" w:rsidRDefault="00FC09FB" w:rsidP="00E2041A">
      <w:pPr>
        <w:rPr>
          <w:rFonts w:ascii="Arial" w:hAnsi="Arial" w:cs="Arial"/>
          <w:sz w:val="17"/>
          <w:szCs w:val="17"/>
        </w:rPr>
      </w:pPr>
    </w:p>
    <w:p w:rsidR="00FC09FB" w:rsidRDefault="00FC09FB" w:rsidP="00E2041A">
      <w:pPr>
        <w:rPr>
          <w:rFonts w:ascii="Arial" w:hAnsi="Arial" w:cs="Arial"/>
          <w:sz w:val="17"/>
          <w:szCs w:val="17"/>
        </w:rPr>
      </w:pPr>
    </w:p>
    <w:p w:rsidR="00FD4869" w:rsidRDefault="00FD4869" w:rsidP="00E2041A">
      <w:pPr>
        <w:rPr>
          <w:rFonts w:ascii="Arial" w:hAnsi="Arial" w:cs="Arial"/>
          <w:sz w:val="17"/>
          <w:szCs w:val="17"/>
        </w:rPr>
      </w:pPr>
    </w:p>
    <w:p w:rsidR="00FD4869" w:rsidRDefault="00FD4869" w:rsidP="00E2041A">
      <w:pPr>
        <w:rPr>
          <w:rFonts w:ascii="Arial" w:hAnsi="Arial" w:cs="Arial"/>
          <w:sz w:val="17"/>
          <w:szCs w:val="17"/>
        </w:rPr>
      </w:pPr>
    </w:p>
    <w:p w:rsidR="00FD4869" w:rsidRDefault="00FD4869" w:rsidP="00E2041A">
      <w:pPr>
        <w:rPr>
          <w:rFonts w:ascii="Arial" w:hAnsi="Arial" w:cs="Arial"/>
          <w:sz w:val="17"/>
          <w:szCs w:val="17"/>
        </w:rPr>
      </w:pPr>
    </w:p>
    <w:p w:rsidR="00FD4869" w:rsidRDefault="00FD4869" w:rsidP="00E2041A">
      <w:pPr>
        <w:rPr>
          <w:rFonts w:ascii="Arial" w:hAnsi="Arial" w:cs="Arial"/>
          <w:sz w:val="17"/>
          <w:szCs w:val="17"/>
        </w:rPr>
      </w:pPr>
    </w:p>
    <w:p w:rsidR="00FD4869" w:rsidRDefault="00FD4869" w:rsidP="00E2041A">
      <w:pPr>
        <w:rPr>
          <w:rFonts w:ascii="Arial" w:hAnsi="Arial" w:cs="Arial"/>
          <w:sz w:val="17"/>
          <w:szCs w:val="17"/>
        </w:rPr>
      </w:pPr>
    </w:p>
    <w:p w:rsidR="00FD4869" w:rsidRDefault="00FD4869" w:rsidP="00E2041A">
      <w:pPr>
        <w:rPr>
          <w:rFonts w:ascii="Arial" w:hAnsi="Arial" w:cs="Arial"/>
          <w:sz w:val="17"/>
          <w:szCs w:val="17"/>
        </w:rPr>
      </w:pPr>
    </w:p>
    <w:p w:rsidR="00FD4869" w:rsidRDefault="00FD4869" w:rsidP="00E2041A">
      <w:pPr>
        <w:rPr>
          <w:rFonts w:ascii="Arial" w:hAnsi="Arial" w:cs="Arial"/>
          <w:sz w:val="17"/>
          <w:szCs w:val="17"/>
        </w:rPr>
      </w:pPr>
    </w:p>
    <w:p w:rsidR="00FD4869" w:rsidRDefault="00FD4869" w:rsidP="00E2041A">
      <w:pPr>
        <w:rPr>
          <w:rFonts w:ascii="Arial" w:hAnsi="Arial" w:cs="Arial"/>
          <w:sz w:val="17"/>
          <w:szCs w:val="17"/>
        </w:rPr>
      </w:pPr>
    </w:p>
    <w:p w:rsidR="00FC09FB" w:rsidRDefault="00FC09FB" w:rsidP="00E2041A">
      <w:pPr>
        <w:rPr>
          <w:rFonts w:ascii="Arial" w:hAnsi="Arial" w:cs="Arial"/>
          <w:b/>
          <w:sz w:val="17"/>
          <w:szCs w:val="17"/>
        </w:rPr>
      </w:pPr>
      <w:r w:rsidRPr="00E2041A">
        <w:rPr>
          <w:rFonts w:ascii="Arial" w:hAnsi="Arial" w:cs="Arial"/>
          <w:sz w:val="17"/>
          <w:szCs w:val="17"/>
        </w:rPr>
        <w:t>Bajo protesta de decir verdad declaramos que los Estados Financieros y sus notas, son</w:t>
      </w:r>
      <w:r>
        <w:rPr>
          <w:rFonts w:ascii="Arial" w:hAnsi="Arial" w:cs="Arial"/>
          <w:sz w:val="17"/>
          <w:szCs w:val="17"/>
        </w:rPr>
        <w:t xml:space="preserve"> </w:t>
      </w:r>
      <w:r w:rsidRPr="00E2041A">
        <w:rPr>
          <w:rFonts w:ascii="Arial" w:hAnsi="Arial" w:cs="Arial"/>
          <w:sz w:val="17"/>
          <w:szCs w:val="17"/>
        </w:rPr>
        <w:t>razonablemente correctos y son responsabilidad del emisor</w:t>
      </w:r>
      <w:r w:rsidR="001566C3">
        <w:rPr>
          <w:rFonts w:ascii="Arial" w:hAnsi="Arial" w:cs="Arial"/>
          <w:sz w:val="17"/>
          <w:szCs w:val="17"/>
        </w:rPr>
        <w:t>.</w:t>
      </w:r>
    </w:p>
    <w:sectPr w:rsidR="00FC09FB" w:rsidSect="00776AEC">
      <w:headerReference w:type="even" r:id="rId13"/>
      <w:headerReference w:type="default" r:id="rId14"/>
      <w:footerReference w:type="even" r:id="rId15"/>
      <w:footerReference w:type="default" r:id="rId16"/>
      <w:type w:val="continuous"/>
      <w:pgSz w:w="15840" w:h="12240" w:orient="landscape" w:code="1"/>
      <w:pgMar w:top="1418"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63" w:rsidRDefault="00AF0863">
      <w:r>
        <w:separator/>
      </w:r>
    </w:p>
  </w:endnote>
  <w:endnote w:type="continuationSeparator" w:id="0">
    <w:p w:rsidR="00AF0863" w:rsidRDefault="00A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36" w:rsidRPr="00CF00D0" w:rsidRDefault="00D93E3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A4EAB">
      <w:rPr>
        <w:rFonts w:ascii="Avenir LT Std 45 Book" w:hAnsi="Avenir LT Std 45 Book" w:cs="Arial"/>
        <w:noProof/>
        <w:color w:val="808080"/>
        <w:szCs w:val="20"/>
      </w:rPr>
      <w:t>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A4EAB">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p>
  <w:p w:rsidR="00D93E36" w:rsidRPr="00813029" w:rsidRDefault="00D93E36" w:rsidP="008130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36" w:rsidRPr="00CF00D0" w:rsidRDefault="00D93E3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A4EAB">
      <w:rPr>
        <w:rFonts w:ascii="Avenir LT Std 45 Book" w:hAnsi="Avenir LT Std 45 Book" w:cs="Arial"/>
        <w:noProof/>
        <w:color w:val="808080"/>
        <w:szCs w:val="20"/>
      </w:rPr>
      <w:t>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A4EAB">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63" w:rsidRDefault="00AF0863">
      <w:r>
        <w:separator/>
      </w:r>
    </w:p>
  </w:footnote>
  <w:footnote w:type="continuationSeparator" w:id="0">
    <w:p w:rsidR="00AF0863" w:rsidRDefault="00AF0863">
      <w:r>
        <w:continuationSeparator/>
      </w:r>
    </w:p>
  </w:footnote>
  <w:footnote w:id="1">
    <w:p w:rsidR="00D93E36" w:rsidRPr="000008C2" w:rsidRDefault="00D93E36">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36" w:rsidRPr="002809DB" w:rsidRDefault="00D93E36"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E36" w:rsidRPr="00CF00D0" w:rsidRDefault="00D93E36"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Pr>
                              <w:rFonts w:ascii="Avenir LT Std 45 Book" w:hAnsi="Avenir LT Std 45 Book" w:cs="Arial"/>
                              <w:b/>
                              <w:color w:val="808080"/>
                              <w:sz w:val="36"/>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D93E36" w:rsidRPr="00CF00D0" w:rsidRDefault="00D93E36"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Pr>
                        <w:rFonts w:ascii="Avenir LT Std 45 Book" w:hAnsi="Avenir LT Std 45 Book" w:cs="Arial"/>
                        <w:b/>
                        <w:color w:val="808080"/>
                        <w:sz w:val="36"/>
                        <w:szCs w:val="20"/>
                      </w:rPr>
                      <w:t>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E36" w:rsidRPr="00CF00D0" w:rsidRDefault="00D93E36"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D93E36" w:rsidRPr="00CF00D0" w:rsidRDefault="00D93E36"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36" w:rsidRPr="00CF00D0" w:rsidRDefault="00D93E36"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PODER EJECUTIVO DEL ESTADO DE QUERÉTARO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2"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15:restartNumberingAfterBreak="0">
    <w:nsid w:val="2D5B3B35"/>
    <w:multiLevelType w:val="hybridMultilevel"/>
    <w:tmpl w:val="35CC276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60F12"/>
    <w:multiLevelType w:val="hybridMultilevel"/>
    <w:tmpl w:val="C592240A"/>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7"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1865"/>
    <w:multiLevelType w:val="hybridMultilevel"/>
    <w:tmpl w:val="45588FD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070F0"/>
    <w:multiLevelType w:val="hybridMultilevel"/>
    <w:tmpl w:val="FA46E3DC"/>
    <w:lvl w:ilvl="0" w:tplc="1092F2C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5"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A94D2F"/>
    <w:multiLevelType w:val="hybridMultilevel"/>
    <w:tmpl w:val="73D04E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1"/>
  </w:num>
  <w:num w:numId="4">
    <w:abstractNumId w:val="25"/>
  </w:num>
  <w:num w:numId="5">
    <w:abstractNumId w:val="20"/>
  </w:num>
  <w:num w:numId="6">
    <w:abstractNumId w:val="0"/>
  </w:num>
  <w:num w:numId="7">
    <w:abstractNumId w:val="33"/>
  </w:num>
  <w:num w:numId="8">
    <w:abstractNumId w:val="26"/>
  </w:num>
  <w:num w:numId="9">
    <w:abstractNumId w:val="2"/>
  </w:num>
  <w:num w:numId="10">
    <w:abstractNumId w:val="13"/>
  </w:num>
  <w:num w:numId="11">
    <w:abstractNumId w:val="27"/>
  </w:num>
  <w:num w:numId="12">
    <w:abstractNumId w:val="3"/>
  </w:num>
  <w:num w:numId="13">
    <w:abstractNumId w:val="11"/>
  </w:num>
  <w:num w:numId="14">
    <w:abstractNumId w:val="4"/>
  </w:num>
  <w:num w:numId="15">
    <w:abstractNumId w:val="15"/>
  </w:num>
  <w:num w:numId="16">
    <w:abstractNumId w:val="0"/>
  </w:num>
  <w:num w:numId="17">
    <w:abstractNumId w:val="4"/>
  </w:num>
  <w:num w:numId="18">
    <w:abstractNumId w:val="45"/>
  </w:num>
  <w:num w:numId="19">
    <w:abstractNumId w:val="40"/>
  </w:num>
  <w:num w:numId="20">
    <w:abstractNumId w:val="47"/>
  </w:num>
  <w:num w:numId="21">
    <w:abstractNumId w:val="42"/>
  </w:num>
  <w:num w:numId="22">
    <w:abstractNumId w:val="38"/>
  </w:num>
  <w:num w:numId="23">
    <w:abstractNumId w:val="17"/>
  </w:num>
  <w:num w:numId="24">
    <w:abstractNumId w:val="36"/>
  </w:num>
  <w:num w:numId="25">
    <w:abstractNumId w:val="10"/>
  </w:num>
  <w:num w:numId="26">
    <w:abstractNumId w:val="22"/>
  </w:num>
  <w:num w:numId="27">
    <w:abstractNumId w:val="34"/>
  </w:num>
  <w:num w:numId="28">
    <w:abstractNumId w:val="39"/>
  </w:num>
  <w:num w:numId="29">
    <w:abstractNumId w:val="43"/>
  </w:num>
  <w:num w:numId="30">
    <w:abstractNumId w:val="7"/>
  </w:num>
  <w:num w:numId="31">
    <w:abstractNumId w:val="5"/>
  </w:num>
  <w:num w:numId="32">
    <w:abstractNumId w:val="12"/>
  </w:num>
  <w:num w:numId="33">
    <w:abstractNumId w:val="32"/>
  </w:num>
  <w:num w:numId="34">
    <w:abstractNumId w:val="30"/>
  </w:num>
  <w:num w:numId="35">
    <w:abstractNumId w:val="19"/>
  </w:num>
  <w:num w:numId="36">
    <w:abstractNumId w:val="46"/>
  </w:num>
  <w:num w:numId="37">
    <w:abstractNumId w:val="18"/>
  </w:num>
  <w:num w:numId="38">
    <w:abstractNumId w:val="24"/>
  </w:num>
  <w:num w:numId="39">
    <w:abstractNumId w:val="9"/>
  </w:num>
  <w:num w:numId="40">
    <w:abstractNumId w:val="37"/>
  </w:num>
  <w:num w:numId="41">
    <w:abstractNumId w:val="14"/>
  </w:num>
  <w:num w:numId="42">
    <w:abstractNumId w:val="8"/>
  </w:num>
  <w:num w:numId="43">
    <w:abstractNumId w:val="29"/>
  </w:num>
  <w:num w:numId="44">
    <w:abstractNumId w:val="41"/>
  </w:num>
  <w:num w:numId="45">
    <w:abstractNumId w:val="31"/>
  </w:num>
  <w:num w:numId="46">
    <w:abstractNumId w:val="21"/>
  </w:num>
  <w:num w:numId="47">
    <w:abstractNumId w:val="6"/>
  </w:num>
  <w:num w:numId="48">
    <w:abstractNumId w:val="35"/>
  </w:num>
  <w:num w:numId="49">
    <w:abstractNumId w:val="28"/>
  </w:num>
  <w:num w:numId="5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2AD7"/>
    <w:rsid w:val="00003379"/>
    <w:rsid w:val="0000365A"/>
    <w:rsid w:val="00004B62"/>
    <w:rsid w:val="00005112"/>
    <w:rsid w:val="00005143"/>
    <w:rsid w:val="00005BA1"/>
    <w:rsid w:val="00005BBF"/>
    <w:rsid w:val="0000634E"/>
    <w:rsid w:val="00007AAC"/>
    <w:rsid w:val="000102CA"/>
    <w:rsid w:val="0001104C"/>
    <w:rsid w:val="000110F0"/>
    <w:rsid w:val="00011178"/>
    <w:rsid w:val="000119FE"/>
    <w:rsid w:val="00012DB2"/>
    <w:rsid w:val="0001361A"/>
    <w:rsid w:val="00013D14"/>
    <w:rsid w:val="000152E5"/>
    <w:rsid w:val="00016A7F"/>
    <w:rsid w:val="00017ACD"/>
    <w:rsid w:val="0002043D"/>
    <w:rsid w:val="00020562"/>
    <w:rsid w:val="00020A76"/>
    <w:rsid w:val="00026019"/>
    <w:rsid w:val="00030DD4"/>
    <w:rsid w:val="000331A9"/>
    <w:rsid w:val="000340A5"/>
    <w:rsid w:val="0003453F"/>
    <w:rsid w:val="00035026"/>
    <w:rsid w:val="000352FF"/>
    <w:rsid w:val="0003610F"/>
    <w:rsid w:val="00036E72"/>
    <w:rsid w:val="00040AA9"/>
    <w:rsid w:val="000412BA"/>
    <w:rsid w:val="00041BED"/>
    <w:rsid w:val="00042E9B"/>
    <w:rsid w:val="00043012"/>
    <w:rsid w:val="0004490E"/>
    <w:rsid w:val="0004595A"/>
    <w:rsid w:val="00046A9C"/>
    <w:rsid w:val="00052BAF"/>
    <w:rsid w:val="000556E4"/>
    <w:rsid w:val="00056302"/>
    <w:rsid w:val="0005667D"/>
    <w:rsid w:val="00060302"/>
    <w:rsid w:val="00061C12"/>
    <w:rsid w:val="00061CB6"/>
    <w:rsid w:val="00062DAE"/>
    <w:rsid w:val="00063D2B"/>
    <w:rsid w:val="00063DF1"/>
    <w:rsid w:val="00063EA6"/>
    <w:rsid w:val="0006463E"/>
    <w:rsid w:val="00064969"/>
    <w:rsid w:val="0006529B"/>
    <w:rsid w:val="0006650E"/>
    <w:rsid w:val="000665BD"/>
    <w:rsid w:val="000674A8"/>
    <w:rsid w:val="00067BB4"/>
    <w:rsid w:val="00071233"/>
    <w:rsid w:val="00071FAC"/>
    <w:rsid w:val="00072CB2"/>
    <w:rsid w:val="00072E8E"/>
    <w:rsid w:val="00072F8B"/>
    <w:rsid w:val="00074B74"/>
    <w:rsid w:val="00075E8D"/>
    <w:rsid w:val="0007770A"/>
    <w:rsid w:val="00077B39"/>
    <w:rsid w:val="00077BF0"/>
    <w:rsid w:val="00080148"/>
    <w:rsid w:val="00080A73"/>
    <w:rsid w:val="00080CBB"/>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7DDA"/>
    <w:rsid w:val="000A003D"/>
    <w:rsid w:val="000A04D9"/>
    <w:rsid w:val="000A0712"/>
    <w:rsid w:val="000A1CD9"/>
    <w:rsid w:val="000A204D"/>
    <w:rsid w:val="000A2512"/>
    <w:rsid w:val="000A39DC"/>
    <w:rsid w:val="000A5319"/>
    <w:rsid w:val="000A66A2"/>
    <w:rsid w:val="000A6EDA"/>
    <w:rsid w:val="000A7DA2"/>
    <w:rsid w:val="000B09F9"/>
    <w:rsid w:val="000B0AAA"/>
    <w:rsid w:val="000B13A1"/>
    <w:rsid w:val="000B15B5"/>
    <w:rsid w:val="000B2E80"/>
    <w:rsid w:val="000B4B11"/>
    <w:rsid w:val="000B5B5B"/>
    <w:rsid w:val="000B6CF1"/>
    <w:rsid w:val="000B78FA"/>
    <w:rsid w:val="000C00FF"/>
    <w:rsid w:val="000C0C81"/>
    <w:rsid w:val="000C2C0C"/>
    <w:rsid w:val="000C472B"/>
    <w:rsid w:val="000C634E"/>
    <w:rsid w:val="000C6384"/>
    <w:rsid w:val="000C65BA"/>
    <w:rsid w:val="000C69D3"/>
    <w:rsid w:val="000C6B30"/>
    <w:rsid w:val="000C6BEB"/>
    <w:rsid w:val="000C785E"/>
    <w:rsid w:val="000D0770"/>
    <w:rsid w:val="000D1C10"/>
    <w:rsid w:val="000D2B07"/>
    <w:rsid w:val="000D2B10"/>
    <w:rsid w:val="000D4481"/>
    <w:rsid w:val="000D5387"/>
    <w:rsid w:val="000D6790"/>
    <w:rsid w:val="000D6A6C"/>
    <w:rsid w:val="000E08A8"/>
    <w:rsid w:val="000E0E94"/>
    <w:rsid w:val="000E15DF"/>
    <w:rsid w:val="000E2289"/>
    <w:rsid w:val="000E22DA"/>
    <w:rsid w:val="000E2BF9"/>
    <w:rsid w:val="000E381F"/>
    <w:rsid w:val="000E4D88"/>
    <w:rsid w:val="000E546D"/>
    <w:rsid w:val="000E716C"/>
    <w:rsid w:val="000E74EF"/>
    <w:rsid w:val="000F12DA"/>
    <w:rsid w:val="000F1797"/>
    <w:rsid w:val="000F17A5"/>
    <w:rsid w:val="000F2A98"/>
    <w:rsid w:val="000F2D49"/>
    <w:rsid w:val="000F43D9"/>
    <w:rsid w:val="000F44F2"/>
    <w:rsid w:val="000F72A0"/>
    <w:rsid w:val="000F74C6"/>
    <w:rsid w:val="000F79B7"/>
    <w:rsid w:val="001000AE"/>
    <w:rsid w:val="00100444"/>
    <w:rsid w:val="00101978"/>
    <w:rsid w:val="00102FF2"/>
    <w:rsid w:val="001042D7"/>
    <w:rsid w:val="001045F8"/>
    <w:rsid w:val="0010523D"/>
    <w:rsid w:val="0010568A"/>
    <w:rsid w:val="001059EB"/>
    <w:rsid w:val="001064F1"/>
    <w:rsid w:val="00111281"/>
    <w:rsid w:val="00112BBE"/>
    <w:rsid w:val="00114B14"/>
    <w:rsid w:val="00115256"/>
    <w:rsid w:val="00115AA7"/>
    <w:rsid w:val="00116F9D"/>
    <w:rsid w:val="00122060"/>
    <w:rsid w:val="00124B1D"/>
    <w:rsid w:val="00124E6A"/>
    <w:rsid w:val="00125540"/>
    <w:rsid w:val="001266F2"/>
    <w:rsid w:val="00126FF3"/>
    <w:rsid w:val="00131D99"/>
    <w:rsid w:val="001336DB"/>
    <w:rsid w:val="00135637"/>
    <w:rsid w:val="00135733"/>
    <w:rsid w:val="0013607B"/>
    <w:rsid w:val="001364C8"/>
    <w:rsid w:val="00137D20"/>
    <w:rsid w:val="0014089D"/>
    <w:rsid w:val="0014285E"/>
    <w:rsid w:val="001439B4"/>
    <w:rsid w:val="001441B9"/>
    <w:rsid w:val="00145CB3"/>
    <w:rsid w:val="00146909"/>
    <w:rsid w:val="00146FDB"/>
    <w:rsid w:val="00147069"/>
    <w:rsid w:val="001479F4"/>
    <w:rsid w:val="00150A77"/>
    <w:rsid w:val="00150FB0"/>
    <w:rsid w:val="0015343C"/>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72F2"/>
    <w:rsid w:val="00180019"/>
    <w:rsid w:val="001800C2"/>
    <w:rsid w:val="00180430"/>
    <w:rsid w:val="001819E5"/>
    <w:rsid w:val="00182C0E"/>
    <w:rsid w:val="00182DD5"/>
    <w:rsid w:val="001838C3"/>
    <w:rsid w:val="00187595"/>
    <w:rsid w:val="0018790A"/>
    <w:rsid w:val="00187971"/>
    <w:rsid w:val="0019167C"/>
    <w:rsid w:val="00192792"/>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7A7F"/>
    <w:rsid w:val="001B007B"/>
    <w:rsid w:val="001B2EE0"/>
    <w:rsid w:val="001B31A7"/>
    <w:rsid w:val="001B3BC0"/>
    <w:rsid w:val="001B49BF"/>
    <w:rsid w:val="001B59FD"/>
    <w:rsid w:val="001B5FF6"/>
    <w:rsid w:val="001B6B15"/>
    <w:rsid w:val="001B7767"/>
    <w:rsid w:val="001B7E6F"/>
    <w:rsid w:val="001C123D"/>
    <w:rsid w:val="001C1C28"/>
    <w:rsid w:val="001C2566"/>
    <w:rsid w:val="001C4C8E"/>
    <w:rsid w:val="001C5B7A"/>
    <w:rsid w:val="001C6C60"/>
    <w:rsid w:val="001D0243"/>
    <w:rsid w:val="001D065E"/>
    <w:rsid w:val="001D12B4"/>
    <w:rsid w:val="001D24E0"/>
    <w:rsid w:val="001D2914"/>
    <w:rsid w:val="001D2A70"/>
    <w:rsid w:val="001D3327"/>
    <w:rsid w:val="001D33F2"/>
    <w:rsid w:val="001D4900"/>
    <w:rsid w:val="001D49E1"/>
    <w:rsid w:val="001D7872"/>
    <w:rsid w:val="001E05DF"/>
    <w:rsid w:val="001E1CB3"/>
    <w:rsid w:val="001E4CA5"/>
    <w:rsid w:val="001E4FC7"/>
    <w:rsid w:val="001E50BC"/>
    <w:rsid w:val="001E58AF"/>
    <w:rsid w:val="001E5A70"/>
    <w:rsid w:val="001E6C3B"/>
    <w:rsid w:val="001E756A"/>
    <w:rsid w:val="001E76A0"/>
    <w:rsid w:val="001E79D9"/>
    <w:rsid w:val="001E7A8F"/>
    <w:rsid w:val="001F1C10"/>
    <w:rsid w:val="001F1EBB"/>
    <w:rsid w:val="001F2A15"/>
    <w:rsid w:val="001F2B6F"/>
    <w:rsid w:val="001F326D"/>
    <w:rsid w:val="001F3FD7"/>
    <w:rsid w:val="001F4B48"/>
    <w:rsid w:val="00200A51"/>
    <w:rsid w:val="002015DB"/>
    <w:rsid w:val="00201E62"/>
    <w:rsid w:val="002020EC"/>
    <w:rsid w:val="00203925"/>
    <w:rsid w:val="00203F78"/>
    <w:rsid w:val="00205485"/>
    <w:rsid w:val="00206284"/>
    <w:rsid w:val="00206505"/>
    <w:rsid w:val="0020781E"/>
    <w:rsid w:val="00207EF6"/>
    <w:rsid w:val="00211037"/>
    <w:rsid w:val="00211508"/>
    <w:rsid w:val="002129B5"/>
    <w:rsid w:val="00214B4E"/>
    <w:rsid w:val="002151B4"/>
    <w:rsid w:val="00215B81"/>
    <w:rsid w:val="00215D0E"/>
    <w:rsid w:val="002164E0"/>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02DE"/>
    <w:rsid w:val="00232A23"/>
    <w:rsid w:val="002342BD"/>
    <w:rsid w:val="002343EC"/>
    <w:rsid w:val="00236CF7"/>
    <w:rsid w:val="00240BB4"/>
    <w:rsid w:val="00241785"/>
    <w:rsid w:val="00241A7E"/>
    <w:rsid w:val="00242B10"/>
    <w:rsid w:val="00242C39"/>
    <w:rsid w:val="00242F62"/>
    <w:rsid w:val="00244436"/>
    <w:rsid w:val="0024672E"/>
    <w:rsid w:val="0024708F"/>
    <w:rsid w:val="002470B0"/>
    <w:rsid w:val="00250B7B"/>
    <w:rsid w:val="00250DEE"/>
    <w:rsid w:val="0025145F"/>
    <w:rsid w:val="00251646"/>
    <w:rsid w:val="002518AB"/>
    <w:rsid w:val="002520CD"/>
    <w:rsid w:val="00252AD1"/>
    <w:rsid w:val="00252F2E"/>
    <w:rsid w:val="00253096"/>
    <w:rsid w:val="002533F7"/>
    <w:rsid w:val="00253F02"/>
    <w:rsid w:val="00254118"/>
    <w:rsid w:val="002543BF"/>
    <w:rsid w:val="00255338"/>
    <w:rsid w:val="002561E9"/>
    <w:rsid w:val="00256C7C"/>
    <w:rsid w:val="0026009A"/>
    <w:rsid w:val="00260BA7"/>
    <w:rsid w:val="00263BCB"/>
    <w:rsid w:val="0026424A"/>
    <w:rsid w:val="00264C81"/>
    <w:rsid w:val="00265446"/>
    <w:rsid w:val="00265933"/>
    <w:rsid w:val="0026735E"/>
    <w:rsid w:val="0027121D"/>
    <w:rsid w:val="0027160A"/>
    <w:rsid w:val="002723B2"/>
    <w:rsid w:val="002732AD"/>
    <w:rsid w:val="00273FF7"/>
    <w:rsid w:val="002746C5"/>
    <w:rsid w:val="002746E2"/>
    <w:rsid w:val="00275FC6"/>
    <w:rsid w:val="00276E6C"/>
    <w:rsid w:val="002773E2"/>
    <w:rsid w:val="002809DB"/>
    <w:rsid w:val="00281841"/>
    <w:rsid w:val="00282158"/>
    <w:rsid w:val="0028373B"/>
    <w:rsid w:val="00286927"/>
    <w:rsid w:val="00287D39"/>
    <w:rsid w:val="00290A1E"/>
    <w:rsid w:val="002912B2"/>
    <w:rsid w:val="002914B5"/>
    <w:rsid w:val="002917C4"/>
    <w:rsid w:val="002917EF"/>
    <w:rsid w:val="00292137"/>
    <w:rsid w:val="00295733"/>
    <w:rsid w:val="00295E86"/>
    <w:rsid w:val="002A0DEA"/>
    <w:rsid w:val="002A13AC"/>
    <w:rsid w:val="002A244F"/>
    <w:rsid w:val="002A2B9C"/>
    <w:rsid w:val="002A4488"/>
    <w:rsid w:val="002A4762"/>
    <w:rsid w:val="002A58E0"/>
    <w:rsid w:val="002A622C"/>
    <w:rsid w:val="002B0822"/>
    <w:rsid w:val="002B35CF"/>
    <w:rsid w:val="002B4C24"/>
    <w:rsid w:val="002B581C"/>
    <w:rsid w:val="002B5A44"/>
    <w:rsid w:val="002B63DD"/>
    <w:rsid w:val="002B69BD"/>
    <w:rsid w:val="002B6D11"/>
    <w:rsid w:val="002B7EEF"/>
    <w:rsid w:val="002B7F42"/>
    <w:rsid w:val="002C05A9"/>
    <w:rsid w:val="002C11BF"/>
    <w:rsid w:val="002C326D"/>
    <w:rsid w:val="002C5E34"/>
    <w:rsid w:val="002C5FF5"/>
    <w:rsid w:val="002C6A1C"/>
    <w:rsid w:val="002C6C28"/>
    <w:rsid w:val="002C6F14"/>
    <w:rsid w:val="002D01C0"/>
    <w:rsid w:val="002D073F"/>
    <w:rsid w:val="002D09F5"/>
    <w:rsid w:val="002D0D0E"/>
    <w:rsid w:val="002D175D"/>
    <w:rsid w:val="002D19B9"/>
    <w:rsid w:val="002D275F"/>
    <w:rsid w:val="002D2D06"/>
    <w:rsid w:val="002D30AE"/>
    <w:rsid w:val="002D4E67"/>
    <w:rsid w:val="002D539F"/>
    <w:rsid w:val="002D567A"/>
    <w:rsid w:val="002D582A"/>
    <w:rsid w:val="002D70DA"/>
    <w:rsid w:val="002E350B"/>
    <w:rsid w:val="002E3F8E"/>
    <w:rsid w:val="002E5A45"/>
    <w:rsid w:val="002E627B"/>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07FA8"/>
    <w:rsid w:val="0031662D"/>
    <w:rsid w:val="00316A2A"/>
    <w:rsid w:val="0031781D"/>
    <w:rsid w:val="003201EB"/>
    <w:rsid w:val="00320778"/>
    <w:rsid w:val="00322B3C"/>
    <w:rsid w:val="00322E1D"/>
    <w:rsid w:val="00323879"/>
    <w:rsid w:val="00326C76"/>
    <w:rsid w:val="00326F1D"/>
    <w:rsid w:val="00327755"/>
    <w:rsid w:val="0033017E"/>
    <w:rsid w:val="00331133"/>
    <w:rsid w:val="00331243"/>
    <w:rsid w:val="0033302B"/>
    <w:rsid w:val="0033436D"/>
    <w:rsid w:val="00335483"/>
    <w:rsid w:val="00336A72"/>
    <w:rsid w:val="00337FDA"/>
    <w:rsid w:val="00340812"/>
    <w:rsid w:val="00340D63"/>
    <w:rsid w:val="00342D65"/>
    <w:rsid w:val="00342EAC"/>
    <w:rsid w:val="00343C0E"/>
    <w:rsid w:val="00344433"/>
    <w:rsid w:val="003448EC"/>
    <w:rsid w:val="00346055"/>
    <w:rsid w:val="00346605"/>
    <w:rsid w:val="00346748"/>
    <w:rsid w:val="00346AA5"/>
    <w:rsid w:val="003511F5"/>
    <w:rsid w:val="00351CE0"/>
    <w:rsid w:val="00352675"/>
    <w:rsid w:val="00353E1D"/>
    <w:rsid w:val="003556AE"/>
    <w:rsid w:val="003560BA"/>
    <w:rsid w:val="00357944"/>
    <w:rsid w:val="00357BCC"/>
    <w:rsid w:val="0036144D"/>
    <w:rsid w:val="00361475"/>
    <w:rsid w:val="003617C9"/>
    <w:rsid w:val="00363026"/>
    <w:rsid w:val="00364153"/>
    <w:rsid w:val="003645A3"/>
    <w:rsid w:val="00365269"/>
    <w:rsid w:val="003652FF"/>
    <w:rsid w:val="003667D6"/>
    <w:rsid w:val="00367360"/>
    <w:rsid w:val="00367BC4"/>
    <w:rsid w:val="00370CEA"/>
    <w:rsid w:val="00371987"/>
    <w:rsid w:val="0037217E"/>
    <w:rsid w:val="00372E51"/>
    <w:rsid w:val="0037305C"/>
    <w:rsid w:val="00375B3F"/>
    <w:rsid w:val="0037658D"/>
    <w:rsid w:val="00376693"/>
    <w:rsid w:val="0037681C"/>
    <w:rsid w:val="00376EDA"/>
    <w:rsid w:val="0037720F"/>
    <w:rsid w:val="0037725B"/>
    <w:rsid w:val="003779D7"/>
    <w:rsid w:val="0038439D"/>
    <w:rsid w:val="0038506C"/>
    <w:rsid w:val="00385B39"/>
    <w:rsid w:val="00386AC3"/>
    <w:rsid w:val="0039020E"/>
    <w:rsid w:val="00391374"/>
    <w:rsid w:val="00392134"/>
    <w:rsid w:val="003949C9"/>
    <w:rsid w:val="0039655C"/>
    <w:rsid w:val="003977E2"/>
    <w:rsid w:val="003A00D3"/>
    <w:rsid w:val="003A0374"/>
    <w:rsid w:val="003A0BAA"/>
    <w:rsid w:val="003A2790"/>
    <w:rsid w:val="003A517C"/>
    <w:rsid w:val="003A5A84"/>
    <w:rsid w:val="003A7E4D"/>
    <w:rsid w:val="003B1DD2"/>
    <w:rsid w:val="003B3FFD"/>
    <w:rsid w:val="003B40C6"/>
    <w:rsid w:val="003B4352"/>
    <w:rsid w:val="003B4E51"/>
    <w:rsid w:val="003B57E5"/>
    <w:rsid w:val="003B5C50"/>
    <w:rsid w:val="003B5D25"/>
    <w:rsid w:val="003B6069"/>
    <w:rsid w:val="003B73FB"/>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3D3"/>
    <w:rsid w:val="003D7CFB"/>
    <w:rsid w:val="003E1B61"/>
    <w:rsid w:val="003E1E70"/>
    <w:rsid w:val="003E212F"/>
    <w:rsid w:val="003E26AC"/>
    <w:rsid w:val="003E3745"/>
    <w:rsid w:val="003E3F5F"/>
    <w:rsid w:val="003E454E"/>
    <w:rsid w:val="003E590B"/>
    <w:rsid w:val="003E5C1A"/>
    <w:rsid w:val="003E6265"/>
    <w:rsid w:val="003E66DA"/>
    <w:rsid w:val="003E68F1"/>
    <w:rsid w:val="003E7073"/>
    <w:rsid w:val="003E7A1F"/>
    <w:rsid w:val="003F0D0E"/>
    <w:rsid w:val="003F1AFF"/>
    <w:rsid w:val="003F4571"/>
    <w:rsid w:val="003F68D8"/>
    <w:rsid w:val="004006C7"/>
    <w:rsid w:val="00401ABA"/>
    <w:rsid w:val="00403833"/>
    <w:rsid w:val="004062B0"/>
    <w:rsid w:val="00406B69"/>
    <w:rsid w:val="00406E8D"/>
    <w:rsid w:val="00410514"/>
    <w:rsid w:val="004113F9"/>
    <w:rsid w:val="00411CAA"/>
    <w:rsid w:val="0041449D"/>
    <w:rsid w:val="00414750"/>
    <w:rsid w:val="00414C14"/>
    <w:rsid w:val="00415091"/>
    <w:rsid w:val="004151FB"/>
    <w:rsid w:val="00415E93"/>
    <w:rsid w:val="004205E8"/>
    <w:rsid w:val="00421938"/>
    <w:rsid w:val="004240FB"/>
    <w:rsid w:val="0042445F"/>
    <w:rsid w:val="00424A9E"/>
    <w:rsid w:val="00424C1D"/>
    <w:rsid w:val="00426A69"/>
    <w:rsid w:val="00426F3B"/>
    <w:rsid w:val="00431B24"/>
    <w:rsid w:val="00431F2D"/>
    <w:rsid w:val="004328DE"/>
    <w:rsid w:val="0043296A"/>
    <w:rsid w:val="0043333B"/>
    <w:rsid w:val="00434092"/>
    <w:rsid w:val="00435188"/>
    <w:rsid w:val="004355B4"/>
    <w:rsid w:val="00436CA6"/>
    <w:rsid w:val="0044129E"/>
    <w:rsid w:val="00441C6F"/>
    <w:rsid w:val="00441E28"/>
    <w:rsid w:val="0044221B"/>
    <w:rsid w:val="004440E5"/>
    <w:rsid w:val="00444534"/>
    <w:rsid w:val="004456AB"/>
    <w:rsid w:val="00446413"/>
    <w:rsid w:val="004469F9"/>
    <w:rsid w:val="0045040C"/>
    <w:rsid w:val="004507B9"/>
    <w:rsid w:val="004517F3"/>
    <w:rsid w:val="004518ED"/>
    <w:rsid w:val="00451ED0"/>
    <w:rsid w:val="004526A2"/>
    <w:rsid w:val="0045339E"/>
    <w:rsid w:val="004542EA"/>
    <w:rsid w:val="0045688B"/>
    <w:rsid w:val="00456E31"/>
    <w:rsid w:val="004575DB"/>
    <w:rsid w:val="004600B2"/>
    <w:rsid w:val="00462BB9"/>
    <w:rsid w:val="0046346C"/>
    <w:rsid w:val="00463616"/>
    <w:rsid w:val="00463882"/>
    <w:rsid w:val="00464499"/>
    <w:rsid w:val="00465149"/>
    <w:rsid w:val="00466290"/>
    <w:rsid w:val="004666AD"/>
    <w:rsid w:val="004671AB"/>
    <w:rsid w:val="00472E7C"/>
    <w:rsid w:val="004741D4"/>
    <w:rsid w:val="00476695"/>
    <w:rsid w:val="004767C3"/>
    <w:rsid w:val="00477026"/>
    <w:rsid w:val="004839AF"/>
    <w:rsid w:val="004843B2"/>
    <w:rsid w:val="00484DCB"/>
    <w:rsid w:val="00485520"/>
    <w:rsid w:val="004859FD"/>
    <w:rsid w:val="00486047"/>
    <w:rsid w:val="00487A33"/>
    <w:rsid w:val="00490D60"/>
    <w:rsid w:val="0049432F"/>
    <w:rsid w:val="00494785"/>
    <w:rsid w:val="00494F9B"/>
    <w:rsid w:val="0049525A"/>
    <w:rsid w:val="00495C2F"/>
    <w:rsid w:val="00495D64"/>
    <w:rsid w:val="00497797"/>
    <w:rsid w:val="004A0C97"/>
    <w:rsid w:val="004A1368"/>
    <w:rsid w:val="004A1C34"/>
    <w:rsid w:val="004A3D23"/>
    <w:rsid w:val="004A581E"/>
    <w:rsid w:val="004A6232"/>
    <w:rsid w:val="004A62B7"/>
    <w:rsid w:val="004B147A"/>
    <w:rsid w:val="004B2EEB"/>
    <w:rsid w:val="004B30CC"/>
    <w:rsid w:val="004B310C"/>
    <w:rsid w:val="004B41B4"/>
    <w:rsid w:val="004B59B5"/>
    <w:rsid w:val="004B5C83"/>
    <w:rsid w:val="004B6C06"/>
    <w:rsid w:val="004C1719"/>
    <w:rsid w:val="004C1B40"/>
    <w:rsid w:val="004C1BA7"/>
    <w:rsid w:val="004C2FFF"/>
    <w:rsid w:val="004C339D"/>
    <w:rsid w:val="004C4FF6"/>
    <w:rsid w:val="004C60BE"/>
    <w:rsid w:val="004C68EB"/>
    <w:rsid w:val="004C6B99"/>
    <w:rsid w:val="004C6E9E"/>
    <w:rsid w:val="004C713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4CE7"/>
    <w:rsid w:val="004E50FA"/>
    <w:rsid w:val="004E6603"/>
    <w:rsid w:val="004E6838"/>
    <w:rsid w:val="004F0829"/>
    <w:rsid w:val="004F1C06"/>
    <w:rsid w:val="004F29E6"/>
    <w:rsid w:val="004F2F74"/>
    <w:rsid w:val="004F43A7"/>
    <w:rsid w:val="004F4747"/>
    <w:rsid w:val="004F4D35"/>
    <w:rsid w:val="004F5447"/>
    <w:rsid w:val="004F6EA1"/>
    <w:rsid w:val="00500D62"/>
    <w:rsid w:val="00502074"/>
    <w:rsid w:val="005020F5"/>
    <w:rsid w:val="00502A17"/>
    <w:rsid w:val="00503380"/>
    <w:rsid w:val="00503769"/>
    <w:rsid w:val="00504127"/>
    <w:rsid w:val="0050424B"/>
    <w:rsid w:val="00506C1D"/>
    <w:rsid w:val="00506D51"/>
    <w:rsid w:val="00507EAD"/>
    <w:rsid w:val="00510147"/>
    <w:rsid w:val="00510EE0"/>
    <w:rsid w:val="00510FC1"/>
    <w:rsid w:val="00511219"/>
    <w:rsid w:val="0051122A"/>
    <w:rsid w:val="00511394"/>
    <w:rsid w:val="00511CB7"/>
    <w:rsid w:val="00512DFD"/>
    <w:rsid w:val="005207C4"/>
    <w:rsid w:val="00523691"/>
    <w:rsid w:val="00524520"/>
    <w:rsid w:val="00525356"/>
    <w:rsid w:val="0052576B"/>
    <w:rsid w:val="005257C2"/>
    <w:rsid w:val="005265BA"/>
    <w:rsid w:val="005304C7"/>
    <w:rsid w:val="00530766"/>
    <w:rsid w:val="00534381"/>
    <w:rsid w:val="00534D22"/>
    <w:rsid w:val="00535CCB"/>
    <w:rsid w:val="005366D2"/>
    <w:rsid w:val="00536835"/>
    <w:rsid w:val="0053768A"/>
    <w:rsid w:val="00540DC3"/>
    <w:rsid w:val="005413CB"/>
    <w:rsid w:val="00544747"/>
    <w:rsid w:val="00545819"/>
    <w:rsid w:val="005458B3"/>
    <w:rsid w:val="00546943"/>
    <w:rsid w:val="00546A5E"/>
    <w:rsid w:val="00547241"/>
    <w:rsid w:val="005501FC"/>
    <w:rsid w:val="00551803"/>
    <w:rsid w:val="00552B5D"/>
    <w:rsid w:val="00553895"/>
    <w:rsid w:val="00553B60"/>
    <w:rsid w:val="005540CE"/>
    <w:rsid w:val="0055474B"/>
    <w:rsid w:val="00554986"/>
    <w:rsid w:val="0055682D"/>
    <w:rsid w:val="00557684"/>
    <w:rsid w:val="00557E69"/>
    <w:rsid w:val="00560276"/>
    <w:rsid w:val="0056133C"/>
    <w:rsid w:val="00561524"/>
    <w:rsid w:val="00561C53"/>
    <w:rsid w:val="0056200F"/>
    <w:rsid w:val="00562288"/>
    <w:rsid w:val="00563C54"/>
    <w:rsid w:val="0056516C"/>
    <w:rsid w:val="0056668F"/>
    <w:rsid w:val="00566DBA"/>
    <w:rsid w:val="00567262"/>
    <w:rsid w:val="00567532"/>
    <w:rsid w:val="00573AA9"/>
    <w:rsid w:val="005741E8"/>
    <w:rsid w:val="00574885"/>
    <w:rsid w:val="0057495B"/>
    <w:rsid w:val="00574FA7"/>
    <w:rsid w:val="00575E9B"/>
    <w:rsid w:val="005762C1"/>
    <w:rsid w:val="00577A8F"/>
    <w:rsid w:val="00577C22"/>
    <w:rsid w:val="00577F5D"/>
    <w:rsid w:val="00580C05"/>
    <w:rsid w:val="00582CFB"/>
    <w:rsid w:val="0058374A"/>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F7"/>
    <w:rsid w:val="00594288"/>
    <w:rsid w:val="00594C8E"/>
    <w:rsid w:val="00595156"/>
    <w:rsid w:val="00595CC5"/>
    <w:rsid w:val="005A0055"/>
    <w:rsid w:val="005A0224"/>
    <w:rsid w:val="005A0B85"/>
    <w:rsid w:val="005A1C51"/>
    <w:rsid w:val="005A359D"/>
    <w:rsid w:val="005A46D1"/>
    <w:rsid w:val="005A4FA0"/>
    <w:rsid w:val="005A5F4B"/>
    <w:rsid w:val="005A68FB"/>
    <w:rsid w:val="005A775E"/>
    <w:rsid w:val="005A7F0F"/>
    <w:rsid w:val="005B0C3A"/>
    <w:rsid w:val="005B101A"/>
    <w:rsid w:val="005B1107"/>
    <w:rsid w:val="005B1AC4"/>
    <w:rsid w:val="005B218B"/>
    <w:rsid w:val="005B3317"/>
    <w:rsid w:val="005B4512"/>
    <w:rsid w:val="005B4559"/>
    <w:rsid w:val="005B455F"/>
    <w:rsid w:val="005B4B5E"/>
    <w:rsid w:val="005B6BFE"/>
    <w:rsid w:val="005B7161"/>
    <w:rsid w:val="005B7481"/>
    <w:rsid w:val="005C3596"/>
    <w:rsid w:val="005C35ED"/>
    <w:rsid w:val="005C3827"/>
    <w:rsid w:val="005C5B60"/>
    <w:rsid w:val="005C73AA"/>
    <w:rsid w:val="005C7AF2"/>
    <w:rsid w:val="005D109B"/>
    <w:rsid w:val="005D1668"/>
    <w:rsid w:val="005D173C"/>
    <w:rsid w:val="005D2A12"/>
    <w:rsid w:val="005D47A8"/>
    <w:rsid w:val="005D523C"/>
    <w:rsid w:val="005D5332"/>
    <w:rsid w:val="005D6754"/>
    <w:rsid w:val="005D74FD"/>
    <w:rsid w:val="005D776E"/>
    <w:rsid w:val="005D78A0"/>
    <w:rsid w:val="005E1616"/>
    <w:rsid w:val="005E2891"/>
    <w:rsid w:val="005E54BD"/>
    <w:rsid w:val="005E62A0"/>
    <w:rsid w:val="005E62CF"/>
    <w:rsid w:val="005E633D"/>
    <w:rsid w:val="005E767D"/>
    <w:rsid w:val="005F1655"/>
    <w:rsid w:val="005F16E5"/>
    <w:rsid w:val="005F1A84"/>
    <w:rsid w:val="005F1B6C"/>
    <w:rsid w:val="005F371E"/>
    <w:rsid w:val="005F49FE"/>
    <w:rsid w:val="005F6A84"/>
    <w:rsid w:val="005F6E58"/>
    <w:rsid w:val="006010D1"/>
    <w:rsid w:val="00601445"/>
    <w:rsid w:val="00601AE6"/>
    <w:rsid w:val="006021DE"/>
    <w:rsid w:val="006022B0"/>
    <w:rsid w:val="00602A2C"/>
    <w:rsid w:val="00602DCF"/>
    <w:rsid w:val="006033FC"/>
    <w:rsid w:val="00603D16"/>
    <w:rsid w:val="00604EC9"/>
    <w:rsid w:val="00605C08"/>
    <w:rsid w:val="00606746"/>
    <w:rsid w:val="00607FF5"/>
    <w:rsid w:val="00610341"/>
    <w:rsid w:val="00611EF3"/>
    <w:rsid w:val="0061242D"/>
    <w:rsid w:val="0061259E"/>
    <w:rsid w:val="00612BED"/>
    <w:rsid w:val="006133CA"/>
    <w:rsid w:val="00613830"/>
    <w:rsid w:val="006139C6"/>
    <w:rsid w:val="00613A8C"/>
    <w:rsid w:val="00614582"/>
    <w:rsid w:val="006149E7"/>
    <w:rsid w:val="00614C81"/>
    <w:rsid w:val="00616733"/>
    <w:rsid w:val="00616A1C"/>
    <w:rsid w:val="00617048"/>
    <w:rsid w:val="006233B9"/>
    <w:rsid w:val="00623736"/>
    <w:rsid w:val="006248C4"/>
    <w:rsid w:val="006252D7"/>
    <w:rsid w:val="006257BF"/>
    <w:rsid w:val="00625B1D"/>
    <w:rsid w:val="00626039"/>
    <w:rsid w:val="006271A5"/>
    <w:rsid w:val="00627A77"/>
    <w:rsid w:val="006325F6"/>
    <w:rsid w:val="006326E0"/>
    <w:rsid w:val="006335BE"/>
    <w:rsid w:val="006336C1"/>
    <w:rsid w:val="00633A5C"/>
    <w:rsid w:val="00633B0D"/>
    <w:rsid w:val="00633BB0"/>
    <w:rsid w:val="006346C3"/>
    <w:rsid w:val="00636810"/>
    <w:rsid w:val="00636B19"/>
    <w:rsid w:val="00641064"/>
    <w:rsid w:val="006412C4"/>
    <w:rsid w:val="00643780"/>
    <w:rsid w:val="0064465C"/>
    <w:rsid w:val="00644D08"/>
    <w:rsid w:val="00645CF5"/>
    <w:rsid w:val="00646E01"/>
    <w:rsid w:val="00650910"/>
    <w:rsid w:val="00650F0D"/>
    <w:rsid w:val="006510EA"/>
    <w:rsid w:val="00651181"/>
    <w:rsid w:val="006514D6"/>
    <w:rsid w:val="00652753"/>
    <w:rsid w:val="006529CA"/>
    <w:rsid w:val="00653271"/>
    <w:rsid w:val="00653309"/>
    <w:rsid w:val="0065332D"/>
    <w:rsid w:val="00653A8A"/>
    <w:rsid w:val="00654877"/>
    <w:rsid w:val="00655AEB"/>
    <w:rsid w:val="00657A7B"/>
    <w:rsid w:val="00657B65"/>
    <w:rsid w:val="00657DC9"/>
    <w:rsid w:val="00657EB4"/>
    <w:rsid w:val="00661598"/>
    <w:rsid w:val="00661F4A"/>
    <w:rsid w:val="00663A50"/>
    <w:rsid w:val="006642DB"/>
    <w:rsid w:val="00664615"/>
    <w:rsid w:val="006651AA"/>
    <w:rsid w:val="00665D1C"/>
    <w:rsid w:val="00666857"/>
    <w:rsid w:val="00674D34"/>
    <w:rsid w:val="006758C9"/>
    <w:rsid w:val="00675CA5"/>
    <w:rsid w:val="00677D8C"/>
    <w:rsid w:val="0068040B"/>
    <w:rsid w:val="00681FD8"/>
    <w:rsid w:val="00684CB6"/>
    <w:rsid w:val="00685631"/>
    <w:rsid w:val="00686D63"/>
    <w:rsid w:val="00687422"/>
    <w:rsid w:val="006876A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D2D"/>
    <w:rsid w:val="006A6891"/>
    <w:rsid w:val="006A6B49"/>
    <w:rsid w:val="006A7235"/>
    <w:rsid w:val="006A780E"/>
    <w:rsid w:val="006A7FF2"/>
    <w:rsid w:val="006B0DBD"/>
    <w:rsid w:val="006B1039"/>
    <w:rsid w:val="006B1667"/>
    <w:rsid w:val="006B1D2C"/>
    <w:rsid w:val="006B2EC6"/>
    <w:rsid w:val="006B32C0"/>
    <w:rsid w:val="006B35C9"/>
    <w:rsid w:val="006B4652"/>
    <w:rsid w:val="006B4DF1"/>
    <w:rsid w:val="006B5715"/>
    <w:rsid w:val="006B6BCD"/>
    <w:rsid w:val="006B71D9"/>
    <w:rsid w:val="006C17A5"/>
    <w:rsid w:val="006C2219"/>
    <w:rsid w:val="006C2EE1"/>
    <w:rsid w:val="006C3A54"/>
    <w:rsid w:val="006C44EF"/>
    <w:rsid w:val="006C4627"/>
    <w:rsid w:val="006C5E33"/>
    <w:rsid w:val="006C6725"/>
    <w:rsid w:val="006C699E"/>
    <w:rsid w:val="006C6B9C"/>
    <w:rsid w:val="006D2D28"/>
    <w:rsid w:val="006D31F7"/>
    <w:rsid w:val="006D4BEF"/>
    <w:rsid w:val="006D4C98"/>
    <w:rsid w:val="006D56DB"/>
    <w:rsid w:val="006D64BC"/>
    <w:rsid w:val="006D656F"/>
    <w:rsid w:val="006D6B67"/>
    <w:rsid w:val="006D78D0"/>
    <w:rsid w:val="006D7C26"/>
    <w:rsid w:val="006E0550"/>
    <w:rsid w:val="006E101A"/>
    <w:rsid w:val="006E11C0"/>
    <w:rsid w:val="006E1A59"/>
    <w:rsid w:val="006E1B40"/>
    <w:rsid w:val="006E28BF"/>
    <w:rsid w:val="006E2B8C"/>
    <w:rsid w:val="006E2C10"/>
    <w:rsid w:val="006E2EFE"/>
    <w:rsid w:val="006E3600"/>
    <w:rsid w:val="006E46B9"/>
    <w:rsid w:val="006E4C32"/>
    <w:rsid w:val="006E5CC5"/>
    <w:rsid w:val="006E6888"/>
    <w:rsid w:val="006E69F8"/>
    <w:rsid w:val="006E71E7"/>
    <w:rsid w:val="006E751A"/>
    <w:rsid w:val="006E791A"/>
    <w:rsid w:val="006F0069"/>
    <w:rsid w:val="006F0567"/>
    <w:rsid w:val="006F1C6B"/>
    <w:rsid w:val="006F2CDC"/>
    <w:rsid w:val="006F2CE5"/>
    <w:rsid w:val="006F3052"/>
    <w:rsid w:val="006F3766"/>
    <w:rsid w:val="006F5C81"/>
    <w:rsid w:val="006F6CBA"/>
    <w:rsid w:val="006F70EC"/>
    <w:rsid w:val="006F716B"/>
    <w:rsid w:val="007026AA"/>
    <w:rsid w:val="00703199"/>
    <w:rsid w:val="00703E68"/>
    <w:rsid w:val="0070533A"/>
    <w:rsid w:val="00707535"/>
    <w:rsid w:val="00707C61"/>
    <w:rsid w:val="007104C4"/>
    <w:rsid w:val="00710CEA"/>
    <w:rsid w:val="0071249F"/>
    <w:rsid w:val="00715A42"/>
    <w:rsid w:val="007168E9"/>
    <w:rsid w:val="00717CAF"/>
    <w:rsid w:val="007209AF"/>
    <w:rsid w:val="007215EB"/>
    <w:rsid w:val="007218B4"/>
    <w:rsid w:val="007219D0"/>
    <w:rsid w:val="00723C69"/>
    <w:rsid w:val="0073188F"/>
    <w:rsid w:val="007320B0"/>
    <w:rsid w:val="007346DA"/>
    <w:rsid w:val="00736A30"/>
    <w:rsid w:val="00737B98"/>
    <w:rsid w:val="00740A02"/>
    <w:rsid w:val="007415AD"/>
    <w:rsid w:val="00742511"/>
    <w:rsid w:val="00742F7B"/>
    <w:rsid w:val="00743315"/>
    <w:rsid w:val="00743B5C"/>
    <w:rsid w:val="00743E80"/>
    <w:rsid w:val="00745E54"/>
    <w:rsid w:val="007525A2"/>
    <w:rsid w:val="007528C4"/>
    <w:rsid w:val="0075297D"/>
    <w:rsid w:val="00752C15"/>
    <w:rsid w:val="007531B7"/>
    <w:rsid w:val="00756556"/>
    <w:rsid w:val="00761C82"/>
    <w:rsid w:val="00761CFE"/>
    <w:rsid w:val="00761F8C"/>
    <w:rsid w:val="00762818"/>
    <w:rsid w:val="00764774"/>
    <w:rsid w:val="007657CF"/>
    <w:rsid w:val="00767A64"/>
    <w:rsid w:val="0077144A"/>
    <w:rsid w:val="007740BC"/>
    <w:rsid w:val="0077473B"/>
    <w:rsid w:val="007752B8"/>
    <w:rsid w:val="00776048"/>
    <w:rsid w:val="00776AEC"/>
    <w:rsid w:val="007777A2"/>
    <w:rsid w:val="00777E8E"/>
    <w:rsid w:val="00781178"/>
    <w:rsid w:val="00781DD1"/>
    <w:rsid w:val="007820C1"/>
    <w:rsid w:val="007828FE"/>
    <w:rsid w:val="00785016"/>
    <w:rsid w:val="0078594D"/>
    <w:rsid w:val="0078701F"/>
    <w:rsid w:val="00787C53"/>
    <w:rsid w:val="00790874"/>
    <w:rsid w:val="007908E3"/>
    <w:rsid w:val="00790B31"/>
    <w:rsid w:val="00791B32"/>
    <w:rsid w:val="00791E59"/>
    <w:rsid w:val="00792A99"/>
    <w:rsid w:val="007939EC"/>
    <w:rsid w:val="00793CBA"/>
    <w:rsid w:val="00793D0F"/>
    <w:rsid w:val="0079429A"/>
    <w:rsid w:val="0079508D"/>
    <w:rsid w:val="0079647B"/>
    <w:rsid w:val="00797197"/>
    <w:rsid w:val="00797543"/>
    <w:rsid w:val="007A0450"/>
    <w:rsid w:val="007A04D7"/>
    <w:rsid w:val="007A09BB"/>
    <w:rsid w:val="007A0F2F"/>
    <w:rsid w:val="007A21C8"/>
    <w:rsid w:val="007A243C"/>
    <w:rsid w:val="007A3494"/>
    <w:rsid w:val="007A4380"/>
    <w:rsid w:val="007A5CAF"/>
    <w:rsid w:val="007A5E0C"/>
    <w:rsid w:val="007A6BC6"/>
    <w:rsid w:val="007A6F5A"/>
    <w:rsid w:val="007B0230"/>
    <w:rsid w:val="007B0C42"/>
    <w:rsid w:val="007B0C9E"/>
    <w:rsid w:val="007B1966"/>
    <w:rsid w:val="007B31D9"/>
    <w:rsid w:val="007B68D7"/>
    <w:rsid w:val="007C0E7C"/>
    <w:rsid w:val="007C0FB6"/>
    <w:rsid w:val="007C220C"/>
    <w:rsid w:val="007C2A73"/>
    <w:rsid w:val="007C302E"/>
    <w:rsid w:val="007C4ABB"/>
    <w:rsid w:val="007C5B5D"/>
    <w:rsid w:val="007C66D8"/>
    <w:rsid w:val="007C6AE4"/>
    <w:rsid w:val="007C6D97"/>
    <w:rsid w:val="007C6E24"/>
    <w:rsid w:val="007D14C3"/>
    <w:rsid w:val="007D2E19"/>
    <w:rsid w:val="007D4231"/>
    <w:rsid w:val="007D4497"/>
    <w:rsid w:val="007D5C2D"/>
    <w:rsid w:val="007D5EF3"/>
    <w:rsid w:val="007E0334"/>
    <w:rsid w:val="007E0CFD"/>
    <w:rsid w:val="007E265C"/>
    <w:rsid w:val="007E36D0"/>
    <w:rsid w:val="007E3CDB"/>
    <w:rsid w:val="007E41EE"/>
    <w:rsid w:val="007E478D"/>
    <w:rsid w:val="007E5211"/>
    <w:rsid w:val="007E6602"/>
    <w:rsid w:val="007E71D0"/>
    <w:rsid w:val="007F060F"/>
    <w:rsid w:val="007F369A"/>
    <w:rsid w:val="007F451F"/>
    <w:rsid w:val="007F59AD"/>
    <w:rsid w:val="007F631E"/>
    <w:rsid w:val="007F73AD"/>
    <w:rsid w:val="007F7800"/>
    <w:rsid w:val="008000AB"/>
    <w:rsid w:val="0080091E"/>
    <w:rsid w:val="008010BA"/>
    <w:rsid w:val="00803106"/>
    <w:rsid w:val="008035D2"/>
    <w:rsid w:val="008053D2"/>
    <w:rsid w:val="008054D5"/>
    <w:rsid w:val="00805B87"/>
    <w:rsid w:val="00805CF8"/>
    <w:rsid w:val="008063C7"/>
    <w:rsid w:val="00806AA5"/>
    <w:rsid w:val="00812C14"/>
    <w:rsid w:val="00813029"/>
    <w:rsid w:val="00813175"/>
    <w:rsid w:val="00814AB0"/>
    <w:rsid w:val="008150D0"/>
    <w:rsid w:val="00815159"/>
    <w:rsid w:val="0081697F"/>
    <w:rsid w:val="008200B7"/>
    <w:rsid w:val="008205CD"/>
    <w:rsid w:val="00821074"/>
    <w:rsid w:val="00821350"/>
    <w:rsid w:val="00823211"/>
    <w:rsid w:val="00823FF9"/>
    <w:rsid w:val="00825E79"/>
    <w:rsid w:val="00827C56"/>
    <w:rsid w:val="00831A1B"/>
    <w:rsid w:val="00831A3C"/>
    <w:rsid w:val="00831F42"/>
    <w:rsid w:val="00832537"/>
    <w:rsid w:val="0083269B"/>
    <w:rsid w:val="00834484"/>
    <w:rsid w:val="008347B1"/>
    <w:rsid w:val="00834C6C"/>
    <w:rsid w:val="00834CC0"/>
    <w:rsid w:val="00834DE9"/>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44F6"/>
    <w:rsid w:val="008557BB"/>
    <w:rsid w:val="00856D5A"/>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41A6"/>
    <w:rsid w:val="0087446F"/>
    <w:rsid w:val="0087498B"/>
    <w:rsid w:val="00874BEE"/>
    <w:rsid w:val="008751F2"/>
    <w:rsid w:val="0087530F"/>
    <w:rsid w:val="0087561E"/>
    <w:rsid w:val="00876865"/>
    <w:rsid w:val="008777D7"/>
    <w:rsid w:val="008814D3"/>
    <w:rsid w:val="00881E93"/>
    <w:rsid w:val="00882163"/>
    <w:rsid w:val="00882278"/>
    <w:rsid w:val="00882EAF"/>
    <w:rsid w:val="00883EB8"/>
    <w:rsid w:val="0088508B"/>
    <w:rsid w:val="008858A2"/>
    <w:rsid w:val="008861DC"/>
    <w:rsid w:val="00886724"/>
    <w:rsid w:val="00886C2E"/>
    <w:rsid w:val="008870E0"/>
    <w:rsid w:val="00887C47"/>
    <w:rsid w:val="0089032F"/>
    <w:rsid w:val="008908A4"/>
    <w:rsid w:val="008918A4"/>
    <w:rsid w:val="00891A88"/>
    <w:rsid w:val="008938BE"/>
    <w:rsid w:val="008943A8"/>
    <w:rsid w:val="0089449F"/>
    <w:rsid w:val="008950F1"/>
    <w:rsid w:val="00896682"/>
    <w:rsid w:val="008A019D"/>
    <w:rsid w:val="008A21AB"/>
    <w:rsid w:val="008A2914"/>
    <w:rsid w:val="008A2CD2"/>
    <w:rsid w:val="008A3517"/>
    <w:rsid w:val="008A47B3"/>
    <w:rsid w:val="008A4BE5"/>
    <w:rsid w:val="008A5770"/>
    <w:rsid w:val="008A5BD4"/>
    <w:rsid w:val="008A6D52"/>
    <w:rsid w:val="008A77F8"/>
    <w:rsid w:val="008B0349"/>
    <w:rsid w:val="008B0607"/>
    <w:rsid w:val="008B16D6"/>
    <w:rsid w:val="008B29B3"/>
    <w:rsid w:val="008B2CC8"/>
    <w:rsid w:val="008B2E49"/>
    <w:rsid w:val="008B3438"/>
    <w:rsid w:val="008B7119"/>
    <w:rsid w:val="008B748F"/>
    <w:rsid w:val="008B759B"/>
    <w:rsid w:val="008C1DDF"/>
    <w:rsid w:val="008C2B56"/>
    <w:rsid w:val="008C3D40"/>
    <w:rsid w:val="008C4888"/>
    <w:rsid w:val="008C493D"/>
    <w:rsid w:val="008C6475"/>
    <w:rsid w:val="008C6F1B"/>
    <w:rsid w:val="008C6FF4"/>
    <w:rsid w:val="008C7A4C"/>
    <w:rsid w:val="008D0EB0"/>
    <w:rsid w:val="008D31C1"/>
    <w:rsid w:val="008D3955"/>
    <w:rsid w:val="008D5FCD"/>
    <w:rsid w:val="008D66C4"/>
    <w:rsid w:val="008D6DDE"/>
    <w:rsid w:val="008E00BF"/>
    <w:rsid w:val="008E1BD8"/>
    <w:rsid w:val="008E2057"/>
    <w:rsid w:val="008E208E"/>
    <w:rsid w:val="008E351A"/>
    <w:rsid w:val="008E428A"/>
    <w:rsid w:val="008E4D5C"/>
    <w:rsid w:val="008E56D8"/>
    <w:rsid w:val="008E64DB"/>
    <w:rsid w:val="008E6CDF"/>
    <w:rsid w:val="008E6E17"/>
    <w:rsid w:val="008E73B5"/>
    <w:rsid w:val="008E767A"/>
    <w:rsid w:val="008E78B8"/>
    <w:rsid w:val="008F0049"/>
    <w:rsid w:val="008F007D"/>
    <w:rsid w:val="008F46CF"/>
    <w:rsid w:val="008F554C"/>
    <w:rsid w:val="008F6047"/>
    <w:rsid w:val="008F6200"/>
    <w:rsid w:val="008F6899"/>
    <w:rsid w:val="008F7B73"/>
    <w:rsid w:val="009000FA"/>
    <w:rsid w:val="00901375"/>
    <w:rsid w:val="0090209E"/>
    <w:rsid w:val="00904CF0"/>
    <w:rsid w:val="00904E8A"/>
    <w:rsid w:val="00904F9F"/>
    <w:rsid w:val="009055A1"/>
    <w:rsid w:val="00906064"/>
    <w:rsid w:val="009075B3"/>
    <w:rsid w:val="00910B52"/>
    <w:rsid w:val="00911F2D"/>
    <w:rsid w:val="009125DA"/>
    <w:rsid w:val="0091574D"/>
    <w:rsid w:val="00915C6A"/>
    <w:rsid w:val="00916753"/>
    <w:rsid w:val="009168F8"/>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DF9"/>
    <w:rsid w:val="00933195"/>
    <w:rsid w:val="00934994"/>
    <w:rsid w:val="00935199"/>
    <w:rsid w:val="00935C49"/>
    <w:rsid w:val="0093635F"/>
    <w:rsid w:val="00937414"/>
    <w:rsid w:val="00942B5C"/>
    <w:rsid w:val="00943F4F"/>
    <w:rsid w:val="00943FB9"/>
    <w:rsid w:val="00944370"/>
    <w:rsid w:val="0094443A"/>
    <w:rsid w:val="00944EF6"/>
    <w:rsid w:val="00944F9E"/>
    <w:rsid w:val="009456EE"/>
    <w:rsid w:val="009460AC"/>
    <w:rsid w:val="00946A49"/>
    <w:rsid w:val="00950A3D"/>
    <w:rsid w:val="009521FB"/>
    <w:rsid w:val="00952BDA"/>
    <w:rsid w:val="009539D7"/>
    <w:rsid w:val="0095414A"/>
    <w:rsid w:val="00956E47"/>
    <w:rsid w:val="00956EB9"/>
    <w:rsid w:val="00957E26"/>
    <w:rsid w:val="0096089B"/>
    <w:rsid w:val="00960D24"/>
    <w:rsid w:val="009623AD"/>
    <w:rsid w:val="00963786"/>
    <w:rsid w:val="00963CB1"/>
    <w:rsid w:val="0096446C"/>
    <w:rsid w:val="00965303"/>
    <w:rsid w:val="00965EB5"/>
    <w:rsid w:val="009666AA"/>
    <w:rsid w:val="0096703C"/>
    <w:rsid w:val="00971DBA"/>
    <w:rsid w:val="00972BFE"/>
    <w:rsid w:val="00973518"/>
    <w:rsid w:val="00973776"/>
    <w:rsid w:val="009749CB"/>
    <w:rsid w:val="00974A0A"/>
    <w:rsid w:val="009759B4"/>
    <w:rsid w:val="00976F05"/>
    <w:rsid w:val="009801FB"/>
    <w:rsid w:val="009816E7"/>
    <w:rsid w:val="009821F5"/>
    <w:rsid w:val="0098230D"/>
    <w:rsid w:val="00982F8C"/>
    <w:rsid w:val="009831AF"/>
    <w:rsid w:val="0098330C"/>
    <w:rsid w:val="009840CE"/>
    <w:rsid w:val="00984E2B"/>
    <w:rsid w:val="00986FE0"/>
    <w:rsid w:val="009870B8"/>
    <w:rsid w:val="009875CC"/>
    <w:rsid w:val="00987B12"/>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462A"/>
    <w:rsid w:val="009A4F60"/>
    <w:rsid w:val="009A7012"/>
    <w:rsid w:val="009B0A70"/>
    <w:rsid w:val="009B0BFD"/>
    <w:rsid w:val="009B1101"/>
    <w:rsid w:val="009B184D"/>
    <w:rsid w:val="009B23C4"/>
    <w:rsid w:val="009B23FD"/>
    <w:rsid w:val="009B245F"/>
    <w:rsid w:val="009B2A3A"/>
    <w:rsid w:val="009B3D46"/>
    <w:rsid w:val="009B46DB"/>
    <w:rsid w:val="009B5AF1"/>
    <w:rsid w:val="009B6812"/>
    <w:rsid w:val="009B6D6F"/>
    <w:rsid w:val="009B73F0"/>
    <w:rsid w:val="009B7481"/>
    <w:rsid w:val="009B7886"/>
    <w:rsid w:val="009C0AE7"/>
    <w:rsid w:val="009C233F"/>
    <w:rsid w:val="009C2B43"/>
    <w:rsid w:val="009C2E4C"/>
    <w:rsid w:val="009C4213"/>
    <w:rsid w:val="009C5585"/>
    <w:rsid w:val="009C63F4"/>
    <w:rsid w:val="009C64AE"/>
    <w:rsid w:val="009C6F9A"/>
    <w:rsid w:val="009C7213"/>
    <w:rsid w:val="009C78E4"/>
    <w:rsid w:val="009C7B05"/>
    <w:rsid w:val="009D1951"/>
    <w:rsid w:val="009D1DDA"/>
    <w:rsid w:val="009D20DE"/>
    <w:rsid w:val="009D2377"/>
    <w:rsid w:val="009D33CC"/>
    <w:rsid w:val="009D389F"/>
    <w:rsid w:val="009D4479"/>
    <w:rsid w:val="009D483F"/>
    <w:rsid w:val="009D5B08"/>
    <w:rsid w:val="009D6006"/>
    <w:rsid w:val="009D61B7"/>
    <w:rsid w:val="009E04E7"/>
    <w:rsid w:val="009E0B85"/>
    <w:rsid w:val="009E0DB3"/>
    <w:rsid w:val="009E0F74"/>
    <w:rsid w:val="009E1552"/>
    <w:rsid w:val="009E26F4"/>
    <w:rsid w:val="009E5D34"/>
    <w:rsid w:val="009E5E02"/>
    <w:rsid w:val="009E600A"/>
    <w:rsid w:val="009E6107"/>
    <w:rsid w:val="009E72EA"/>
    <w:rsid w:val="009F02C5"/>
    <w:rsid w:val="009F0F46"/>
    <w:rsid w:val="009F0F79"/>
    <w:rsid w:val="009F2D7B"/>
    <w:rsid w:val="009F5108"/>
    <w:rsid w:val="009F53EF"/>
    <w:rsid w:val="009F561D"/>
    <w:rsid w:val="009F760E"/>
    <w:rsid w:val="009F7929"/>
    <w:rsid w:val="009F795B"/>
    <w:rsid w:val="00A003D4"/>
    <w:rsid w:val="00A005A0"/>
    <w:rsid w:val="00A0193F"/>
    <w:rsid w:val="00A0269E"/>
    <w:rsid w:val="00A05A53"/>
    <w:rsid w:val="00A07FD3"/>
    <w:rsid w:val="00A108F0"/>
    <w:rsid w:val="00A10F30"/>
    <w:rsid w:val="00A11F66"/>
    <w:rsid w:val="00A12D9B"/>
    <w:rsid w:val="00A134E5"/>
    <w:rsid w:val="00A139F1"/>
    <w:rsid w:val="00A13CCB"/>
    <w:rsid w:val="00A15822"/>
    <w:rsid w:val="00A15B77"/>
    <w:rsid w:val="00A166A8"/>
    <w:rsid w:val="00A176EB"/>
    <w:rsid w:val="00A208E2"/>
    <w:rsid w:val="00A21151"/>
    <w:rsid w:val="00A228B9"/>
    <w:rsid w:val="00A23622"/>
    <w:rsid w:val="00A251C0"/>
    <w:rsid w:val="00A25F9E"/>
    <w:rsid w:val="00A30D3F"/>
    <w:rsid w:val="00A32AEC"/>
    <w:rsid w:val="00A353A4"/>
    <w:rsid w:val="00A3555A"/>
    <w:rsid w:val="00A35DFF"/>
    <w:rsid w:val="00A37D4B"/>
    <w:rsid w:val="00A403A8"/>
    <w:rsid w:val="00A40ECB"/>
    <w:rsid w:val="00A41156"/>
    <w:rsid w:val="00A41FBB"/>
    <w:rsid w:val="00A43445"/>
    <w:rsid w:val="00A43535"/>
    <w:rsid w:val="00A44908"/>
    <w:rsid w:val="00A4497A"/>
    <w:rsid w:val="00A44C6A"/>
    <w:rsid w:val="00A455D1"/>
    <w:rsid w:val="00A46137"/>
    <w:rsid w:val="00A4659E"/>
    <w:rsid w:val="00A466E4"/>
    <w:rsid w:val="00A50313"/>
    <w:rsid w:val="00A50598"/>
    <w:rsid w:val="00A506B3"/>
    <w:rsid w:val="00A50BA1"/>
    <w:rsid w:val="00A50FFA"/>
    <w:rsid w:val="00A51E58"/>
    <w:rsid w:val="00A52C8F"/>
    <w:rsid w:val="00A53A61"/>
    <w:rsid w:val="00A547CF"/>
    <w:rsid w:val="00A5658F"/>
    <w:rsid w:val="00A56749"/>
    <w:rsid w:val="00A56C2B"/>
    <w:rsid w:val="00A571C8"/>
    <w:rsid w:val="00A57DA9"/>
    <w:rsid w:val="00A57FC9"/>
    <w:rsid w:val="00A600F3"/>
    <w:rsid w:val="00A61A0C"/>
    <w:rsid w:val="00A61E9D"/>
    <w:rsid w:val="00A642F5"/>
    <w:rsid w:val="00A646B0"/>
    <w:rsid w:val="00A648C5"/>
    <w:rsid w:val="00A649F4"/>
    <w:rsid w:val="00A64A87"/>
    <w:rsid w:val="00A64AB2"/>
    <w:rsid w:val="00A65AF1"/>
    <w:rsid w:val="00A669A7"/>
    <w:rsid w:val="00A67440"/>
    <w:rsid w:val="00A70147"/>
    <w:rsid w:val="00A70E88"/>
    <w:rsid w:val="00A7136F"/>
    <w:rsid w:val="00A71BCF"/>
    <w:rsid w:val="00A7268C"/>
    <w:rsid w:val="00A749D0"/>
    <w:rsid w:val="00A75273"/>
    <w:rsid w:val="00A754B1"/>
    <w:rsid w:val="00A7552D"/>
    <w:rsid w:val="00A8264F"/>
    <w:rsid w:val="00A836AD"/>
    <w:rsid w:val="00A86078"/>
    <w:rsid w:val="00A86955"/>
    <w:rsid w:val="00A90E3B"/>
    <w:rsid w:val="00A919BB"/>
    <w:rsid w:val="00A92123"/>
    <w:rsid w:val="00A93171"/>
    <w:rsid w:val="00A93847"/>
    <w:rsid w:val="00A96010"/>
    <w:rsid w:val="00A963CE"/>
    <w:rsid w:val="00A96F1F"/>
    <w:rsid w:val="00A97401"/>
    <w:rsid w:val="00AA1129"/>
    <w:rsid w:val="00AA17C4"/>
    <w:rsid w:val="00AA4D91"/>
    <w:rsid w:val="00AA5850"/>
    <w:rsid w:val="00AA6E96"/>
    <w:rsid w:val="00AA7547"/>
    <w:rsid w:val="00AA79AB"/>
    <w:rsid w:val="00AA7A68"/>
    <w:rsid w:val="00AB093A"/>
    <w:rsid w:val="00AB2099"/>
    <w:rsid w:val="00AB2574"/>
    <w:rsid w:val="00AB2F56"/>
    <w:rsid w:val="00AB390B"/>
    <w:rsid w:val="00AB40E3"/>
    <w:rsid w:val="00AB4964"/>
    <w:rsid w:val="00AB4ADD"/>
    <w:rsid w:val="00AB68CE"/>
    <w:rsid w:val="00AB72F1"/>
    <w:rsid w:val="00AB7F7F"/>
    <w:rsid w:val="00AC037A"/>
    <w:rsid w:val="00AC0B9C"/>
    <w:rsid w:val="00AC3BF6"/>
    <w:rsid w:val="00AC3FB5"/>
    <w:rsid w:val="00AC4B95"/>
    <w:rsid w:val="00AC564D"/>
    <w:rsid w:val="00AC6C42"/>
    <w:rsid w:val="00AC7136"/>
    <w:rsid w:val="00AD3746"/>
    <w:rsid w:val="00AD3F60"/>
    <w:rsid w:val="00AD4538"/>
    <w:rsid w:val="00AD4E07"/>
    <w:rsid w:val="00AD681C"/>
    <w:rsid w:val="00AE0049"/>
    <w:rsid w:val="00AE1528"/>
    <w:rsid w:val="00AE15D9"/>
    <w:rsid w:val="00AE20E8"/>
    <w:rsid w:val="00AE515C"/>
    <w:rsid w:val="00AE541B"/>
    <w:rsid w:val="00AE544D"/>
    <w:rsid w:val="00AE55D9"/>
    <w:rsid w:val="00AE5C9D"/>
    <w:rsid w:val="00AE708F"/>
    <w:rsid w:val="00AF042A"/>
    <w:rsid w:val="00AF0863"/>
    <w:rsid w:val="00AF0950"/>
    <w:rsid w:val="00AF1366"/>
    <w:rsid w:val="00AF3061"/>
    <w:rsid w:val="00AF4041"/>
    <w:rsid w:val="00AF4198"/>
    <w:rsid w:val="00AF49B0"/>
    <w:rsid w:val="00AF5950"/>
    <w:rsid w:val="00AF636E"/>
    <w:rsid w:val="00AF6701"/>
    <w:rsid w:val="00B00A01"/>
    <w:rsid w:val="00B0224A"/>
    <w:rsid w:val="00B026D3"/>
    <w:rsid w:val="00B0311D"/>
    <w:rsid w:val="00B03215"/>
    <w:rsid w:val="00B034E4"/>
    <w:rsid w:val="00B04727"/>
    <w:rsid w:val="00B058B5"/>
    <w:rsid w:val="00B06090"/>
    <w:rsid w:val="00B07F44"/>
    <w:rsid w:val="00B13600"/>
    <w:rsid w:val="00B1555D"/>
    <w:rsid w:val="00B15D7B"/>
    <w:rsid w:val="00B16BBE"/>
    <w:rsid w:val="00B24724"/>
    <w:rsid w:val="00B24964"/>
    <w:rsid w:val="00B24B7B"/>
    <w:rsid w:val="00B251B4"/>
    <w:rsid w:val="00B262C6"/>
    <w:rsid w:val="00B26498"/>
    <w:rsid w:val="00B27291"/>
    <w:rsid w:val="00B276AC"/>
    <w:rsid w:val="00B306A0"/>
    <w:rsid w:val="00B309AC"/>
    <w:rsid w:val="00B31F29"/>
    <w:rsid w:val="00B32D0E"/>
    <w:rsid w:val="00B33AF5"/>
    <w:rsid w:val="00B350A9"/>
    <w:rsid w:val="00B353D0"/>
    <w:rsid w:val="00B35C2A"/>
    <w:rsid w:val="00B35D4A"/>
    <w:rsid w:val="00B360D9"/>
    <w:rsid w:val="00B369D6"/>
    <w:rsid w:val="00B40196"/>
    <w:rsid w:val="00B407D1"/>
    <w:rsid w:val="00B41665"/>
    <w:rsid w:val="00B425FC"/>
    <w:rsid w:val="00B4294D"/>
    <w:rsid w:val="00B439A7"/>
    <w:rsid w:val="00B43E5B"/>
    <w:rsid w:val="00B4412F"/>
    <w:rsid w:val="00B44550"/>
    <w:rsid w:val="00B445CD"/>
    <w:rsid w:val="00B44E9E"/>
    <w:rsid w:val="00B45734"/>
    <w:rsid w:val="00B46F0E"/>
    <w:rsid w:val="00B471F8"/>
    <w:rsid w:val="00B5146B"/>
    <w:rsid w:val="00B523D6"/>
    <w:rsid w:val="00B5284A"/>
    <w:rsid w:val="00B542AE"/>
    <w:rsid w:val="00B571FF"/>
    <w:rsid w:val="00B60C91"/>
    <w:rsid w:val="00B60E04"/>
    <w:rsid w:val="00B614F7"/>
    <w:rsid w:val="00B61505"/>
    <w:rsid w:val="00B621D1"/>
    <w:rsid w:val="00B624B3"/>
    <w:rsid w:val="00B63458"/>
    <w:rsid w:val="00B645AF"/>
    <w:rsid w:val="00B66100"/>
    <w:rsid w:val="00B66CE9"/>
    <w:rsid w:val="00B70624"/>
    <w:rsid w:val="00B71199"/>
    <w:rsid w:val="00B72FB1"/>
    <w:rsid w:val="00B73FA8"/>
    <w:rsid w:val="00B74843"/>
    <w:rsid w:val="00B75550"/>
    <w:rsid w:val="00B757E4"/>
    <w:rsid w:val="00B75BE3"/>
    <w:rsid w:val="00B75D46"/>
    <w:rsid w:val="00B772DA"/>
    <w:rsid w:val="00B773BC"/>
    <w:rsid w:val="00B7797D"/>
    <w:rsid w:val="00B80A0E"/>
    <w:rsid w:val="00B811F0"/>
    <w:rsid w:val="00B824B9"/>
    <w:rsid w:val="00B82632"/>
    <w:rsid w:val="00B82898"/>
    <w:rsid w:val="00B83E78"/>
    <w:rsid w:val="00B8461B"/>
    <w:rsid w:val="00B84FE7"/>
    <w:rsid w:val="00B85650"/>
    <w:rsid w:val="00B86C5B"/>
    <w:rsid w:val="00B87FCD"/>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44C4"/>
    <w:rsid w:val="00BA6DBA"/>
    <w:rsid w:val="00BA7072"/>
    <w:rsid w:val="00BB0AB3"/>
    <w:rsid w:val="00BB0D6A"/>
    <w:rsid w:val="00BB302F"/>
    <w:rsid w:val="00BB3EE9"/>
    <w:rsid w:val="00BB4052"/>
    <w:rsid w:val="00BB432B"/>
    <w:rsid w:val="00BB5724"/>
    <w:rsid w:val="00BB694C"/>
    <w:rsid w:val="00BC0A3A"/>
    <w:rsid w:val="00BC0DE0"/>
    <w:rsid w:val="00BC0EE8"/>
    <w:rsid w:val="00BC14AB"/>
    <w:rsid w:val="00BC2B83"/>
    <w:rsid w:val="00BC4BFF"/>
    <w:rsid w:val="00BC51F2"/>
    <w:rsid w:val="00BC5A5C"/>
    <w:rsid w:val="00BC7D10"/>
    <w:rsid w:val="00BC7DE2"/>
    <w:rsid w:val="00BD0B72"/>
    <w:rsid w:val="00BD1218"/>
    <w:rsid w:val="00BD123A"/>
    <w:rsid w:val="00BD167A"/>
    <w:rsid w:val="00BD17A5"/>
    <w:rsid w:val="00BD31AB"/>
    <w:rsid w:val="00BD3FFD"/>
    <w:rsid w:val="00BD439A"/>
    <w:rsid w:val="00BD4638"/>
    <w:rsid w:val="00BD7299"/>
    <w:rsid w:val="00BD7874"/>
    <w:rsid w:val="00BE1011"/>
    <w:rsid w:val="00BE155D"/>
    <w:rsid w:val="00BE16CB"/>
    <w:rsid w:val="00BE1B32"/>
    <w:rsid w:val="00BE40BB"/>
    <w:rsid w:val="00BE4318"/>
    <w:rsid w:val="00BE4507"/>
    <w:rsid w:val="00BE489E"/>
    <w:rsid w:val="00BE4E1A"/>
    <w:rsid w:val="00BE5729"/>
    <w:rsid w:val="00BE7BA6"/>
    <w:rsid w:val="00BF098B"/>
    <w:rsid w:val="00BF0D20"/>
    <w:rsid w:val="00BF21A9"/>
    <w:rsid w:val="00BF2333"/>
    <w:rsid w:val="00BF2638"/>
    <w:rsid w:val="00BF3E96"/>
    <w:rsid w:val="00BF3FBC"/>
    <w:rsid w:val="00BF4307"/>
    <w:rsid w:val="00BF4503"/>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2F31"/>
    <w:rsid w:val="00C14453"/>
    <w:rsid w:val="00C15F72"/>
    <w:rsid w:val="00C178E8"/>
    <w:rsid w:val="00C17CE0"/>
    <w:rsid w:val="00C17F6A"/>
    <w:rsid w:val="00C20019"/>
    <w:rsid w:val="00C208F8"/>
    <w:rsid w:val="00C20C27"/>
    <w:rsid w:val="00C22076"/>
    <w:rsid w:val="00C22486"/>
    <w:rsid w:val="00C22B03"/>
    <w:rsid w:val="00C22C2B"/>
    <w:rsid w:val="00C24B0A"/>
    <w:rsid w:val="00C26BF2"/>
    <w:rsid w:val="00C31B42"/>
    <w:rsid w:val="00C33C88"/>
    <w:rsid w:val="00C35F7F"/>
    <w:rsid w:val="00C37B0F"/>
    <w:rsid w:val="00C37C49"/>
    <w:rsid w:val="00C40615"/>
    <w:rsid w:val="00C41214"/>
    <w:rsid w:val="00C4325D"/>
    <w:rsid w:val="00C439EA"/>
    <w:rsid w:val="00C4492E"/>
    <w:rsid w:val="00C45332"/>
    <w:rsid w:val="00C4560B"/>
    <w:rsid w:val="00C462F7"/>
    <w:rsid w:val="00C46EC3"/>
    <w:rsid w:val="00C47DCF"/>
    <w:rsid w:val="00C50F56"/>
    <w:rsid w:val="00C51EDD"/>
    <w:rsid w:val="00C529D7"/>
    <w:rsid w:val="00C53425"/>
    <w:rsid w:val="00C54C56"/>
    <w:rsid w:val="00C6012D"/>
    <w:rsid w:val="00C60222"/>
    <w:rsid w:val="00C65075"/>
    <w:rsid w:val="00C65559"/>
    <w:rsid w:val="00C6693F"/>
    <w:rsid w:val="00C66B83"/>
    <w:rsid w:val="00C66D06"/>
    <w:rsid w:val="00C700B7"/>
    <w:rsid w:val="00C70179"/>
    <w:rsid w:val="00C710CD"/>
    <w:rsid w:val="00C7210E"/>
    <w:rsid w:val="00C73C9E"/>
    <w:rsid w:val="00C75B92"/>
    <w:rsid w:val="00C76017"/>
    <w:rsid w:val="00C764A2"/>
    <w:rsid w:val="00C76A0A"/>
    <w:rsid w:val="00C76B7A"/>
    <w:rsid w:val="00C816BF"/>
    <w:rsid w:val="00C81D09"/>
    <w:rsid w:val="00C81F80"/>
    <w:rsid w:val="00C8284A"/>
    <w:rsid w:val="00C82E63"/>
    <w:rsid w:val="00C839D3"/>
    <w:rsid w:val="00C849DC"/>
    <w:rsid w:val="00C85DB3"/>
    <w:rsid w:val="00C86281"/>
    <w:rsid w:val="00C86ABA"/>
    <w:rsid w:val="00C86FE3"/>
    <w:rsid w:val="00C8767B"/>
    <w:rsid w:val="00C87F9A"/>
    <w:rsid w:val="00C90054"/>
    <w:rsid w:val="00C9098B"/>
    <w:rsid w:val="00C91571"/>
    <w:rsid w:val="00C91E46"/>
    <w:rsid w:val="00C92FCC"/>
    <w:rsid w:val="00C93F8B"/>
    <w:rsid w:val="00C948FD"/>
    <w:rsid w:val="00C949D2"/>
    <w:rsid w:val="00C94E71"/>
    <w:rsid w:val="00C95E86"/>
    <w:rsid w:val="00C96469"/>
    <w:rsid w:val="00C9765E"/>
    <w:rsid w:val="00CA0BAF"/>
    <w:rsid w:val="00CA0D4B"/>
    <w:rsid w:val="00CA3CE2"/>
    <w:rsid w:val="00CA4120"/>
    <w:rsid w:val="00CA4751"/>
    <w:rsid w:val="00CA4EAB"/>
    <w:rsid w:val="00CA57A8"/>
    <w:rsid w:val="00CA5EC2"/>
    <w:rsid w:val="00CA64D6"/>
    <w:rsid w:val="00CA6BFC"/>
    <w:rsid w:val="00CA7B8E"/>
    <w:rsid w:val="00CA7BBF"/>
    <w:rsid w:val="00CB109A"/>
    <w:rsid w:val="00CB1A72"/>
    <w:rsid w:val="00CB231B"/>
    <w:rsid w:val="00CB382B"/>
    <w:rsid w:val="00CB402D"/>
    <w:rsid w:val="00CB4998"/>
    <w:rsid w:val="00CB54A2"/>
    <w:rsid w:val="00CB5525"/>
    <w:rsid w:val="00CB5B93"/>
    <w:rsid w:val="00CB6F0C"/>
    <w:rsid w:val="00CB7D39"/>
    <w:rsid w:val="00CC12D6"/>
    <w:rsid w:val="00CC182C"/>
    <w:rsid w:val="00CC22C1"/>
    <w:rsid w:val="00CC407E"/>
    <w:rsid w:val="00CC7032"/>
    <w:rsid w:val="00CC7034"/>
    <w:rsid w:val="00CD1030"/>
    <w:rsid w:val="00CD12A6"/>
    <w:rsid w:val="00CD293A"/>
    <w:rsid w:val="00CD35CA"/>
    <w:rsid w:val="00CD47E1"/>
    <w:rsid w:val="00CD77E5"/>
    <w:rsid w:val="00CE377A"/>
    <w:rsid w:val="00CE3EE8"/>
    <w:rsid w:val="00CE4092"/>
    <w:rsid w:val="00CE473E"/>
    <w:rsid w:val="00CE586F"/>
    <w:rsid w:val="00CE65DD"/>
    <w:rsid w:val="00CE7A45"/>
    <w:rsid w:val="00CF00D0"/>
    <w:rsid w:val="00CF1BFA"/>
    <w:rsid w:val="00CF2C94"/>
    <w:rsid w:val="00CF338E"/>
    <w:rsid w:val="00CF4395"/>
    <w:rsid w:val="00CF4583"/>
    <w:rsid w:val="00CF4715"/>
    <w:rsid w:val="00CF5872"/>
    <w:rsid w:val="00CF58C6"/>
    <w:rsid w:val="00CF61DA"/>
    <w:rsid w:val="00CF62AC"/>
    <w:rsid w:val="00D006B9"/>
    <w:rsid w:val="00D00A97"/>
    <w:rsid w:val="00D011D4"/>
    <w:rsid w:val="00D01776"/>
    <w:rsid w:val="00D0259B"/>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21B"/>
    <w:rsid w:val="00D2341A"/>
    <w:rsid w:val="00D2380C"/>
    <w:rsid w:val="00D23F60"/>
    <w:rsid w:val="00D24A96"/>
    <w:rsid w:val="00D2655A"/>
    <w:rsid w:val="00D265DE"/>
    <w:rsid w:val="00D272A3"/>
    <w:rsid w:val="00D308F2"/>
    <w:rsid w:val="00D30B8D"/>
    <w:rsid w:val="00D3138F"/>
    <w:rsid w:val="00D33384"/>
    <w:rsid w:val="00D33C09"/>
    <w:rsid w:val="00D34050"/>
    <w:rsid w:val="00D345CE"/>
    <w:rsid w:val="00D348F2"/>
    <w:rsid w:val="00D35B63"/>
    <w:rsid w:val="00D40192"/>
    <w:rsid w:val="00D4096B"/>
    <w:rsid w:val="00D418A0"/>
    <w:rsid w:val="00D425B7"/>
    <w:rsid w:val="00D42D5E"/>
    <w:rsid w:val="00D439F7"/>
    <w:rsid w:val="00D43D6A"/>
    <w:rsid w:val="00D440F1"/>
    <w:rsid w:val="00D442A1"/>
    <w:rsid w:val="00D460F4"/>
    <w:rsid w:val="00D47279"/>
    <w:rsid w:val="00D47798"/>
    <w:rsid w:val="00D500E1"/>
    <w:rsid w:val="00D5100D"/>
    <w:rsid w:val="00D51A64"/>
    <w:rsid w:val="00D53163"/>
    <w:rsid w:val="00D5346A"/>
    <w:rsid w:val="00D53683"/>
    <w:rsid w:val="00D536B8"/>
    <w:rsid w:val="00D53F0A"/>
    <w:rsid w:val="00D54E80"/>
    <w:rsid w:val="00D5581E"/>
    <w:rsid w:val="00D55B4A"/>
    <w:rsid w:val="00D566BD"/>
    <w:rsid w:val="00D57205"/>
    <w:rsid w:val="00D613FB"/>
    <w:rsid w:val="00D61493"/>
    <w:rsid w:val="00D618D3"/>
    <w:rsid w:val="00D621D4"/>
    <w:rsid w:val="00D62F87"/>
    <w:rsid w:val="00D64962"/>
    <w:rsid w:val="00D64AAC"/>
    <w:rsid w:val="00D65778"/>
    <w:rsid w:val="00D667ED"/>
    <w:rsid w:val="00D673AA"/>
    <w:rsid w:val="00D70445"/>
    <w:rsid w:val="00D70E0E"/>
    <w:rsid w:val="00D71702"/>
    <w:rsid w:val="00D718EB"/>
    <w:rsid w:val="00D71A2B"/>
    <w:rsid w:val="00D7201E"/>
    <w:rsid w:val="00D72751"/>
    <w:rsid w:val="00D7381B"/>
    <w:rsid w:val="00D739F3"/>
    <w:rsid w:val="00D73FE5"/>
    <w:rsid w:val="00D74557"/>
    <w:rsid w:val="00D755D2"/>
    <w:rsid w:val="00D76FD9"/>
    <w:rsid w:val="00D772AA"/>
    <w:rsid w:val="00D8071A"/>
    <w:rsid w:val="00D81924"/>
    <w:rsid w:val="00D83310"/>
    <w:rsid w:val="00D86840"/>
    <w:rsid w:val="00D86E4A"/>
    <w:rsid w:val="00D86EE1"/>
    <w:rsid w:val="00D90518"/>
    <w:rsid w:val="00D90E05"/>
    <w:rsid w:val="00D91457"/>
    <w:rsid w:val="00D92EA5"/>
    <w:rsid w:val="00D93E36"/>
    <w:rsid w:val="00D93E48"/>
    <w:rsid w:val="00D93E81"/>
    <w:rsid w:val="00DA0B33"/>
    <w:rsid w:val="00DA1FE4"/>
    <w:rsid w:val="00DA2F3A"/>
    <w:rsid w:val="00DA3F3D"/>
    <w:rsid w:val="00DA4AA0"/>
    <w:rsid w:val="00DA5A49"/>
    <w:rsid w:val="00DB0631"/>
    <w:rsid w:val="00DB0A89"/>
    <w:rsid w:val="00DB2091"/>
    <w:rsid w:val="00DB45BE"/>
    <w:rsid w:val="00DB5CC0"/>
    <w:rsid w:val="00DB5E0C"/>
    <w:rsid w:val="00DB786E"/>
    <w:rsid w:val="00DB79DC"/>
    <w:rsid w:val="00DB7BFF"/>
    <w:rsid w:val="00DC02C0"/>
    <w:rsid w:val="00DC25BE"/>
    <w:rsid w:val="00DC278F"/>
    <w:rsid w:val="00DC4330"/>
    <w:rsid w:val="00DC5FA6"/>
    <w:rsid w:val="00DC66AD"/>
    <w:rsid w:val="00DC68DC"/>
    <w:rsid w:val="00DD01BA"/>
    <w:rsid w:val="00DD0C22"/>
    <w:rsid w:val="00DD12CE"/>
    <w:rsid w:val="00DD1DB1"/>
    <w:rsid w:val="00DD28DC"/>
    <w:rsid w:val="00DD3D75"/>
    <w:rsid w:val="00DD4164"/>
    <w:rsid w:val="00DD4D22"/>
    <w:rsid w:val="00DD4E3F"/>
    <w:rsid w:val="00DD576E"/>
    <w:rsid w:val="00DD6F0D"/>
    <w:rsid w:val="00DE1AB0"/>
    <w:rsid w:val="00DE2809"/>
    <w:rsid w:val="00DE2CDE"/>
    <w:rsid w:val="00DE4749"/>
    <w:rsid w:val="00DE7062"/>
    <w:rsid w:val="00DF083D"/>
    <w:rsid w:val="00DF287F"/>
    <w:rsid w:val="00DF31EA"/>
    <w:rsid w:val="00DF3918"/>
    <w:rsid w:val="00DF45B6"/>
    <w:rsid w:val="00DF52F4"/>
    <w:rsid w:val="00DF5BAB"/>
    <w:rsid w:val="00DF5E25"/>
    <w:rsid w:val="00DF74BA"/>
    <w:rsid w:val="00DF7554"/>
    <w:rsid w:val="00E00F72"/>
    <w:rsid w:val="00E03A09"/>
    <w:rsid w:val="00E03F6F"/>
    <w:rsid w:val="00E0405A"/>
    <w:rsid w:val="00E04269"/>
    <w:rsid w:val="00E11BB7"/>
    <w:rsid w:val="00E11F25"/>
    <w:rsid w:val="00E12775"/>
    <w:rsid w:val="00E12997"/>
    <w:rsid w:val="00E129A5"/>
    <w:rsid w:val="00E133D1"/>
    <w:rsid w:val="00E15AC5"/>
    <w:rsid w:val="00E1621F"/>
    <w:rsid w:val="00E2041A"/>
    <w:rsid w:val="00E20FD4"/>
    <w:rsid w:val="00E2301B"/>
    <w:rsid w:val="00E23AF9"/>
    <w:rsid w:val="00E25071"/>
    <w:rsid w:val="00E27631"/>
    <w:rsid w:val="00E27F5F"/>
    <w:rsid w:val="00E30ADA"/>
    <w:rsid w:val="00E321D5"/>
    <w:rsid w:val="00E32842"/>
    <w:rsid w:val="00E32E33"/>
    <w:rsid w:val="00E33439"/>
    <w:rsid w:val="00E33547"/>
    <w:rsid w:val="00E33794"/>
    <w:rsid w:val="00E34570"/>
    <w:rsid w:val="00E34A3A"/>
    <w:rsid w:val="00E40A74"/>
    <w:rsid w:val="00E40EEC"/>
    <w:rsid w:val="00E41F1C"/>
    <w:rsid w:val="00E42B88"/>
    <w:rsid w:val="00E42C7E"/>
    <w:rsid w:val="00E42FDD"/>
    <w:rsid w:val="00E44E54"/>
    <w:rsid w:val="00E45FFD"/>
    <w:rsid w:val="00E4729F"/>
    <w:rsid w:val="00E52DBA"/>
    <w:rsid w:val="00E52E7C"/>
    <w:rsid w:val="00E52EF2"/>
    <w:rsid w:val="00E5324B"/>
    <w:rsid w:val="00E54A60"/>
    <w:rsid w:val="00E55467"/>
    <w:rsid w:val="00E56BB1"/>
    <w:rsid w:val="00E5753A"/>
    <w:rsid w:val="00E57CEB"/>
    <w:rsid w:val="00E60143"/>
    <w:rsid w:val="00E60172"/>
    <w:rsid w:val="00E61C58"/>
    <w:rsid w:val="00E64265"/>
    <w:rsid w:val="00E6479A"/>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D19"/>
    <w:rsid w:val="00E821D4"/>
    <w:rsid w:val="00E82CF3"/>
    <w:rsid w:val="00E830B7"/>
    <w:rsid w:val="00E83BBB"/>
    <w:rsid w:val="00E84AB2"/>
    <w:rsid w:val="00E856ED"/>
    <w:rsid w:val="00E85880"/>
    <w:rsid w:val="00E8764B"/>
    <w:rsid w:val="00E87709"/>
    <w:rsid w:val="00E879F6"/>
    <w:rsid w:val="00E908C4"/>
    <w:rsid w:val="00E91109"/>
    <w:rsid w:val="00E91422"/>
    <w:rsid w:val="00E91CE1"/>
    <w:rsid w:val="00E921FA"/>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279A"/>
    <w:rsid w:val="00EB3B36"/>
    <w:rsid w:val="00EB3B5F"/>
    <w:rsid w:val="00EB52FD"/>
    <w:rsid w:val="00EB5384"/>
    <w:rsid w:val="00EB5DAF"/>
    <w:rsid w:val="00EB6190"/>
    <w:rsid w:val="00EB6BA5"/>
    <w:rsid w:val="00EB6EE4"/>
    <w:rsid w:val="00EB7571"/>
    <w:rsid w:val="00EB78BA"/>
    <w:rsid w:val="00EB7D4A"/>
    <w:rsid w:val="00EC1072"/>
    <w:rsid w:val="00EC1339"/>
    <w:rsid w:val="00EC29B8"/>
    <w:rsid w:val="00EC2BAA"/>
    <w:rsid w:val="00EC2DDC"/>
    <w:rsid w:val="00EC310E"/>
    <w:rsid w:val="00EC3C98"/>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16EB"/>
    <w:rsid w:val="00EE2985"/>
    <w:rsid w:val="00EE302A"/>
    <w:rsid w:val="00EE4DB6"/>
    <w:rsid w:val="00EE549A"/>
    <w:rsid w:val="00EE5DB1"/>
    <w:rsid w:val="00EE5E39"/>
    <w:rsid w:val="00EE6E4F"/>
    <w:rsid w:val="00EE788C"/>
    <w:rsid w:val="00EE7F94"/>
    <w:rsid w:val="00EF37FB"/>
    <w:rsid w:val="00EF46DD"/>
    <w:rsid w:val="00EF591E"/>
    <w:rsid w:val="00EF6902"/>
    <w:rsid w:val="00EF7D5B"/>
    <w:rsid w:val="00F00736"/>
    <w:rsid w:val="00F007D1"/>
    <w:rsid w:val="00F03C5B"/>
    <w:rsid w:val="00F07935"/>
    <w:rsid w:val="00F101DA"/>
    <w:rsid w:val="00F105FC"/>
    <w:rsid w:val="00F1082F"/>
    <w:rsid w:val="00F11ED4"/>
    <w:rsid w:val="00F12E52"/>
    <w:rsid w:val="00F151E8"/>
    <w:rsid w:val="00F1578E"/>
    <w:rsid w:val="00F162EE"/>
    <w:rsid w:val="00F163C4"/>
    <w:rsid w:val="00F165DD"/>
    <w:rsid w:val="00F213AB"/>
    <w:rsid w:val="00F21427"/>
    <w:rsid w:val="00F24D7B"/>
    <w:rsid w:val="00F25EDE"/>
    <w:rsid w:val="00F2702C"/>
    <w:rsid w:val="00F27559"/>
    <w:rsid w:val="00F279D8"/>
    <w:rsid w:val="00F27B49"/>
    <w:rsid w:val="00F3054A"/>
    <w:rsid w:val="00F31F81"/>
    <w:rsid w:val="00F326DD"/>
    <w:rsid w:val="00F32D77"/>
    <w:rsid w:val="00F340D1"/>
    <w:rsid w:val="00F345BA"/>
    <w:rsid w:val="00F35910"/>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12BF"/>
    <w:rsid w:val="00F51C6A"/>
    <w:rsid w:val="00F51CEE"/>
    <w:rsid w:val="00F51CF8"/>
    <w:rsid w:val="00F535B4"/>
    <w:rsid w:val="00F5410A"/>
    <w:rsid w:val="00F54CA9"/>
    <w:rsid w:val="00F5542F"/>
    <w:rsid w:val="00F556A6"/>
    <w:rsid w:val="00F55BE2"/>
    <w:rsid w:val="00F56581"/>
    <w:rsid w:val="00F6021F"/>
    <w:rsid w:val="00F60F45"/>
    <w:rsid w:val="00F60F87"/>
    <w:rsid w:val="00F613AD"/>
    <w:rsid w:val="00F623B3"/>
    <w:rsid w:val="00F63161"/>
    <w:rsid w:val="00F6459F"/>
    <w:rsid w:val="00F64670"/>
    <w:rsid w:val="00F65568"/>
    <w:rsid w:val="00F66D54"/>
    <w:rsid w:val="00F6740F"/>
    <w:rsid w:val="00F674DB"/>
    <w:rsid w:val="00F6798C"/>
    <w:rsid w:val="00F707D9"/>
    <w:rsid w:val="00F708FC"/>
    <w:rsid w:val="00F7391F"/>
    <w:rsid w:val="00F739BA"/>
    <w:rsid w:val="00F739E1"/>
    <w:rsid w:val="00F73D7F"/>
    <w:rsid w:val="00F751A1"/>
    <w:rsid w:val="00F75357"/>
    <w:rsid w:val="00F756C5"/>
    <w:rsid w:val="00F769FE"/>
    <w:rsid w:val="00F76B03"/>
    <w:rsid w:val="00F77B11"/>
    <w:rsid w:val="00F77B83"/>
    <w:rsid w:val="00F77D92"/>
    <w:rsid w:val="00F8126B"/>
    <w:rsid w:val="00F82D90"/>
    <w:rsid w:val="00F838FF"/>
    <w:rsid w:val="00F859C6"/>
    <w:rsid w:val="00F86013"/>
    <w:rsid w:val="00F864B8"/>
    <w:rsid w:val="00F87C4E"/>
    <w:rsid w:val="00F9045D"/>
    <w:rsid w:val="00F9156E"/>
    <w:rsid w:val="00F92542"/>
    <w:rsid w:val="00F93CE5"/>
    <w:rsid w:val="00F93ED9"/>
    <w:rsid w:val="00F94113"/>
    <w:rsid w:val="00F94658"/>
    <w:rsid w:val="00F94F3E"/>
    <w:rsid w:val="00F96E70"/>
    <w:rsid w:val="00F97BAC"/>
    <w:rsid w:val="00F97F2E"/>
    <w:rsid w:val="00FA004E"/>
    <w:rsid w:val="00FA07B8"/>
    <w:rsid w:val="00FA1593"/>
    <w:rsid w:val="00FA263F"/>
    <w:rsid w:val="00FA2B9C"/>
    <w:rsid w:val="00FA3842"/>
    <w:rsid w:val="00FA3BD1"/>
    <w:rsid w:val="00FB0432"/>
    <w:rsid w:val="00FB1073"/>
    <w:rsid w:val="00FB18E6"/>
    <w:rsid w:val="00FB1E5D"/>
    <w:rsid w:val="00FB1F84"/>
    <w:rsid w:val="00FB24D6"/>
    <w:rsid w:val="00FB426B"/>
    <w:rsid w:val="00FB4764"/>
    <w:rsid w:val="00FB48CD"/>
    <w:rsid w:val="00FB4A0C"/>
    <w:rsid w:val="00FB62DF"/>
    <w:rsid w:val="00FB7FD9"/>
    <w:rsid w:val="00FC009E"/>
    <w:rsid w:val="00FC04F3"/>
    <w:rsid w:val="00FC0936"/>
    <w:rsid w:val="00FC09B0"/>
    <w:rsid w:val="00FC09FB"/>
    <w:rsid w:val="00FC28EA"/>
    <w:rsid w:val="00FC3FF7"/>
    <w:rsid w:val="00FC46CC"/>
    <w:rsid w:val="00FC6446"/>
    <w:rsid w:val="00FC68BA"/>
    <w:rsid w:val="00FD0281"/>
    <w:rsid w:val="00FD03B5"/>
    <w:rsid w:val="00FD0DD1"/>
    <w:rsid w:val="00FD2298"/>
    <w:rsid w:val="00FD3A63"/>
    <w:rsid w:val="00FD4869"/>
    <w:rsid w:val="00FD5FBE"/>
    <w:rsid w:val="00FD6CFD"/>
    <w:rsid w:val="00FD7074"/>
    <w:rsid w:val="00FD7AAC"/>
    <w:rsid w:val="00FD7C74"/>
    <w:rsid w:val="00FE004E"/>
    <w:rsid w:val="00FE05FE"/>
    <w:rsid w:val="00FE1587"/>
    <w:rsid w:val="00FE1843"/>
    <w:rsid w:val="00FE2940"/>
    <w:rsid w:val="00FE464A"/>
    <w:rsid w:val="00FE4A0F"/>
    <w:rsid w:val="00FF2156"/>
    <w:rsid w:val="00FF2C2D"/>
    <w:rsid w:val="00FF3976"/>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B0695"/>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character" w:styleId="Textoennegrita">
    <w:name w:val="Strong"/>
    <w:basedOn w:val="Fuentedeprrafopredeter"/>
    <w:qFormat/>
    <w:rsid w:val="00906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37386170">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12D1E410-667E-433A-B34A-4F5DBB34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10770</Words>
  <Characters>59238</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Hugo Flores</cp:lastModifiedBy>
  <cp:revision>6</cp:revision>
  <cp:lastPrinted>2017-02-23T15:38:00Z</cp:lastPrinted>
  <dcterms:created xsi:type="dcterms:W3CDTF">2017-02-25T19:44:00Z</dcterms:created>
  <dcterms:modified xsi:type="dcterms:W3CDTF">2017-02-25T19:59:00Z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