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INGRESOS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Para la elaboración de la Ley de Ingresos 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>ro para el ejercicio fiscal 2016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se consideró entre otros aspectos, que las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</w:t>
      </w:r>
      <w:r w:rsidR="00ED537E">
        <w:rPr>
          <w:rFonts w:ascii="Arial" w:eastAsia="Calibri" w:hAnsi="Arial" w:cs="Arial"/>
          <w:spacing w:val="-1"/>
          <w:sz w:val="22"/>
          <w:szCs w:val="17"/>
        </w:rPr>
        <w:t>xpectativas económicas para 2016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estimaban un crecimiento del Producto Interno Bruto 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entre 2.6% y de 3.6% así como una inflación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3% anual.</w:t>
      </w: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Se estimó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que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los ingresos crecerían un 9.2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 con respecto a la Ley de Ingresos del Estado de Queréta</w:t>
      </w:r>
      <w:r w:rsidR="00ED537E">
        <w:rPr>
          <w:rFonts w:ascii="Arial" w:eastAsia="Calibri" w:hAnsi="Arial" w:cs="Arial"/>
          <w:spacing w:val="-1"/>
          <w:sz w:val="22"/>
          <w:szCs w:val="17"/>
        </w:rPr>
        <w:t>ro para el ejercicio fiscal 2015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 Este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c</w:t>
      </w:r>
      <w:r w:rsidR="00ED537E" w:rsidRPr="00AF5FC9">
        <w:rPr>
          <w:rFonts w:ascii="Arial" w:eastAsia="Calibri" w:hAnsi="Arial" w:cs="Arial"/>
          <w:spacing w:val="-1"/>
          <w:sz w:val="22"/>
          <w:szCs w:val="17"/>
        </w:rPr>
        <w:t>omportamiento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se debería principalmente, 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al crecimiento de los ingresos propios en 24%,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al incremento de las part</w:t>
      </w:r>
      <w:r w:rsidR="00ED537E">
        <w:rPr>
          <w:rFonts w:ascii="Arial" w:eastAsia="Calibri" w:hAnsi="Arial" w:cs="Arial"/>
          <w:spacing w:val="-1"/>
          <w:sz w:val="22"/>
          <w:szCs w:val="17"/>
        </w:rPr>
        <w:t>icipaciones federales en un 5.2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%, así como al de las aportaciones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federales en un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5</w:t>
      </w:r>
      <w:r w:rsidR="00ED537E">
        <w:rPr>
          <w:rFonts w:ascii="Arial" w:eastAsia="Calibri" w:hAnsi="Arial" w:cs="Arial"/>
          <w:spacing w:val="-1"/>
          <w:sz w:val="22"/>
          <w:szCs w:val="17"/>
        </w:rPr>
        <w:t>.3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ED537E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Pr="00AF5FC9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El monto total estimado en la Ley de Ingresos del Estado de Querétaro para el ejercicio fiscal 201</w:t>
      </w:r>
      <w:r w:rsidR="00ED537E">
        <w:rPr>
          <w:rFonts w:ascii="Arial" w:eastAsia="Calibri" w:hAnsi="Arial" w:cs="Arial"/>
          <w:spacing w:val="-1"/>
          <w:sz w:val="22"/>
          <w:szCs w:val="17"/>
        </w:rPr>
        <w:t>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ascendió a la cantidad de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$29,018,226,675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.00</w:t>
      </w: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ED537E" w:rsidRPr="00AF5FC9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4C66A7" w:rsidRPr="009C4CB1" w:rsidRDefault="00D8315A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Destacando en el ejercicio 2016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, un aumento en los ingresos</w:t>
      </w:r>
      <w:r w:rsidR="008032D4">
        <w:rPr>
          <w:rFonts w:ascii="Arial" w:eastAsia="Calibri" w:hAnsi="Arial" w:cs="Arial"/>
          <w:spacing w:val="-1"/>
          <w:sz w:val="22"/>
          <w:szCs w:val="17"/>
        </w:rPr>
        <w:t xml:space="preserve"> totales en un 17.4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% en relación a lo estimado. El detalle se presenta en la</w:t>
      </w:r>
      <w:r w:rsidR="00BF7C5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195DCD" w:rsidRPr="00195DCD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lastRenderedPageBreak/>
        <w:t>El rubro de ingresos p</w:t>
      </w:r>
      <w:r w:rsidR="00BD5336">
        <w:rPr>
          <w:rFonts w:ascii="Arial" w:eastAsia="Calibri" w:hAnsi="Arial" w:cs="Arial"/>
          <w:spacing w:val="-1"/>
          <w:sz w:val="22"/>
          <w:szCs w:val="17"/>
        </w:rPr>
        <w:t>ropios recaudados registró un 26.62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por encima de lo estimado, y en el caso de los recursos provenientes de los</w:t>
      </w:r>
    </w:p>
    <w:p w:rsidR="004C66A7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t>rubros de Participaciones, Aportaciones, Transferencias, Asignaciones, Subsidios y Otras Ayud</w:t>
      </w:r>
      <w:r w:rsidR="00614F7E">
        <w:rPr>
          <w:rFonts w:ascii="Arial" w:eastAsia="Calibri" w:hAnsi="Arial" w:cs="Arial"/>
          <w:spacing w:val="-1"/>
          <w:sz w:val="22"/>
          <w:szCs w:val="17"/>
        </w:rPr>
        <w:t>as, lo recaudado fue superior 15.98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respecto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de lo estimado.</w:t>
      </w:r>
    </w:p>
    <w:p w:rsidR="002D516D" w:rsidRDefault="002D516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bookmarkEnd w:id="0"/>
    </w:p>
    <w:p w:rsidR="00C2074A" w:rsidRDefault="00C2074A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0049913" wp14:editId="4B7127E5">
            <wp:extent cx="5133975" cy="21145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1085BC24" wp14:editId="758F63BA">
            <wp:extent cx="5133975" cy="21145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E67A3" w:rsidRPr="00195DCD" w:rsidSect="00584F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DC" w:rsidRDefault="00E072DC">
      <w:r>
        <w:separator/>
      </w:r>
    </w:p>
  </w:endnote>
  <w:endnote w:type="continuationSeparator" w:id="0">
    <w:p w:rsidR="00E072DC" w:rsidRDefault="00E0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A392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A392B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79" w:rsidRDefault="00042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DC" w:rsidRDefault="00E072DC">
      <w:r>
        <w:separator/>
      </w:r>
    </w:p>
  </w:footnote>
  <w:footnote w:type="continuationSeparator" w:id="0">
    <w:p w:rsidR="00E072DC" w:rsidRDefault="00E0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79" w:rsidRDefault="000426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34073274894</c:v>
                </c:pt>
                <c:pt idx="1">
                  <c:v>29018226675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3-43A1-8337-379AAFE80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258285952"/>
        <c:axId val="1173956480"/>
      </c:barChart>
      <c:catAx>
        <c:axId val="125828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3956480"/>
        <c:crosses val="autoZero"/>
        <c:auto val="1"/>
        <c:lblAlgn val="ctr"/>
        <c:lblOffset val="100"/>
        <c:noMultiLvlLbl val="0"/>
      </c:catAx>
      <c:valAx>
        <c:axId val="117395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828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4968223020</c:v>
                </c:pt>
                <c:pt idx="1">
                  <c:v>3923617527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9-448B-A33C-5385C98F44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73952672"/>
        <c:axId val="1173943424"/>
      </c:barChart>
      <c:catAx>
        <c:axId val="117395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3943424"/>
        <c:crosses val="autoZero"/>
        <c:auto val="1"/>
        <c:lblAlgn val="ctr"/>
        <c:lblOffset val="100"/>
        <c:noMultiLvlLbl val="0"/>
      </c:catAx>
      <c:valAx>
        <c:axId val="1173943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395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/>
              <a:t>Participaciones, Aportaciones, Transferencias,</a:t>
            </a:r>
            <a:r>
              <a:rPr lang="en-US" sz="1600" baseline="0"/>
              <a:t> Asignaciones, Subsidios y Otras Ayudas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Participaciones, Aportaciones, y Transferencias Federales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29105051874</c:v>
                </c:pt>
                <c:pt idx="1">
                  <c:v>25094609148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A-4CEC-B528-8721418077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260205232"/>
        <c:axId val="1260207408"/>
      </c:barChart>
      <c:catAx>
        <c:axId val="126020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60207408"/>
        <c:crosses val="autoZero"/>
        <c:auto val="1"/>
        <c:lblAlgn val="ctr"/>
        <c:lblOffset val="100"/>
        <c:noMultiLvlLbl val="0"/>
      </c:catAx>
      <c:valAx>
        <c:axId val="1260207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6020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AC3AF09-EDA0-42BE-B5FC-E9062C3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Hugo Flores</cp:lastModifiedBy>
  <cp:revision>2</cp:revision>
  <cp:lastPrinted>2014-03-13T03:19:00Z</cp:lastPrinted>
  <dcterms:created xsi:type="dcterms:W3CDTF">2017-02-16T17:24:00Z</dcterms:created>
  <dcterms:modified xsi:type="dcterms:W3CDTF">2017-02-16T17:24:00Z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